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461CFACD" w:rsidR="00D04B89" w:rsidRPr="00E76A50" w:rsidRDefault="00B81F8A" w:rsidP="00D04B89">
      <w:pPr>
        <w:pStyle w:val="Heading1"/>
        <w:rPr>
          <w:rFonts w:eastAsia="Arial"/>
          <w:i/>
          <w:sz w:val="32"/>
        </w:rPr>
      </w:pPr>
      <w:r>
        <w:rPr>
          <w:rFonts w:eastAsia="Arial" w:cs="Arial"/>
          <w:noProof/>
          <w:sz w:val="32"/>
          <w:highlight w:val="green"/>
        </w:rPr>
        <w:t>-</w:t>
      </w:r>
      <w:r w:rsidR="0037708A" w:rsidRPr="0037708A">
        <w:rPr>
          <w:rFonts w:eastAsia="Arial" w:cs="Arial"/>
          <w:noProof/>
          <w:sz w:val="32"/>
          <w:highlight w:val="green"/>
        </w:rPr>
        <w:t>Linden Road Academy Pupil Premium Strategy</w:t>
      </w:r>
      <w:r w:rsidR="0037708A" w:rsidRPr="0037708A">
        <w:rPr>
          <w:rFonts w:eastAsia="Arial" w:cs="Arial"/>
          <w:noProof/>
          <w:sz w:val="32"/>
          <w:highlight w:val="green"/>
        </w:rPr>
        <w:tab/>
      </w:r>
      <w:r w:rsidR="0037708A" w:rsidRPr="0037708A">
        <w:rPr>
          <w:rFonts w:eastAsia="Arial" w:cs="Arial"/>
          <w:noProof/>
          <w:sz w:val="32"/>
          <w:highlight w:val="green"/>
        </w:rPr>
        <w:tab/>
      </w:r>
      <w:r w:rsidR="0037708A" w:rsidRPr="0037708A">
        <w:rPr>
          <w:rFonts w:eastAsia="Arial" w:cs="Arial"/>
          <w:noProof/>
          <w:sz w:val="32"/>
          <w:highlight w:val="green"/>
        </w:rPr>
        <w:tab/>
      </w:r>
      <w:r w:rsidR="0037708A" w:rsidRPr="0037708A">
        <w:rPr>
          <w:rFonts w:eastAsia="Arial" w:cs="Arial"/>
          <w:noProof/>
          <w:sz w:val="32"/>
          <w:highlight w:val="green"/>
        </w:rPr>
        <w:tab/>
      </w:r>
      <w:r w:rsidR="0037708A" w:rsidRPr="0037708A">
        <w:rPr>
          <w:rFonts w:eastAsia="Arial" w:cs="Arial"/>
          <w:noProof/>
          <w:sz w:val="32"/>
          <w:highlight w:val="green"/>
        </w:rPr>
        <w:tab/>
      </w:r>
      <w:r>
        <w:rPr>
          <w:rFonts w:eastAsia="Arial"/>
          <w:i/>
          <w:sz w:val="32"/>
          <w:highlight w:val="green"/>
        </w:rPr>
        <w:t xml:space="preserve">Academic Year </w:t>
      </w:r>
      <w:r w:rsidR="000409AC">
        <w:rPr>
          <w:rFonts w:eastAsia="Arial"/>
          <w:i/>
          <w:sz w:val="32"/>
          <w:highlight w:val="green"/>
        </w:rPr>
        <w:t xml:space="preserve">2020 - </w:t>
      </w:r>
      <w:r w:rsidR="000409AC">
        <w:rPr>
          <w:rFonts w:eastAsia="Arial"/>
          <w:i/>
          <w:sz w:val="32"/>
        </w:rPr>
        <w:t>21</w:t>
      </w:r>
    </w:p>
    <w:tbl>
      <w:tblPr>
        <w:tblStyle w:val="TableGrid"/>
        <w:tblW w:w="15417" w:type="dxa"/>
        <w:tblLook w:val="04A0" w:firstRow="1" w:lastRow="0" w:firstColumn="1" w:lastColumn="0" w:noHBand="0" w:noVBand="1"/>
      </w:tblPr>
      <w:tblGrid>
        <w:gridCol w:w="817"/>
        <w:gridCol w:w="45"/>
        <w:gridCol w:w="2081"/>
        <w:gridCol w:w="1135"/>
        <w:gridCol w:w="3968"/>
        <w:gridCol w:w="567"/>
        <w:gridCol w:w="454"/>
        <w:gridCol w:w="113"/>
        <w:gridCol w:w="1134"/>
        <w:gridCol w:w="1701"/>
        <w:gridCol w:w="1305"/>
        <w:gridCol w:w="2097"/>
      </w:tblGrid>
      <w:tr w:rsidR="003D1997" w:rsidRPr="003D1997" w14:paraId="3DC38D73" w14:textId="77777777" w:rsidTr="0037708A">
        <w:trPr>
          <w:trHeight w:hRule="exact" w:val="340"/>
        </w:trPr>
        <w:tc>
          <w:tcPr>
            <w:tcW w:w="15417" w:type="dxa"/>
            <w:gridSpan w:val="12"/>
            <w:shd w:val="clear" w:color="auto" w:fill="92D050"/>
            <w:tcMar>
              <w:top w:w="57" w:type="dxa"/>
              <w:bottom w:w="57" w:type="dxa"/>
            </w:tcMar>
          </w:tcPr>
          <w:p w14:paraId="0DC44624" w14:textId="77777777" w:rsidR="003D1997" w:rsidRPr="003D1997" w:rsidRDefault="003D1997" w:rsidP="005B137B">
            <w:pPr>
              <w:pStyle w:val="ListParagraph"/>
              <w:numPr>
                <w:ilvl w:val="0"/>
                <w:numId w:val="28"/>
              </w:numPr>
              <w:spacing w:after="0" w:line="240" w:lineRule="auto"/>
              <w:ind w:left="426" w:hanging="284"/>
              <w:contextualSpacing w:val="0"/>
              <w:rPr>
                <w:rFonts w:cs="Arial"/>
                <w:b/>
                <w:sz w:val="22"/>
              </w:rPr>
            </w:pPr>
            <w:r w:rsidRPr="003D1997">
              <w:rPr>
                <w:rFonts w:cs="Arial"/>
                <w:b/>
                <w:sz w:val="22"/>
              </w:rPr>
              <w:t>Summary information</w:t>
            </w:r>
          </w:p>
        </w:tc>
      </w:tr>
      <w:tr w:rsidR="003D1997" w:rsidRPr="003D1997" w14:paraId="0A949F08" w14:textId="77777777" w:rsidTr="005B137B">
        <w:trPr>
          <w:trHeight w:hRule="exact" w:val="340"/>
        </w:trPr>
        <w:tc>
          <w:tcPr>
            <w:tcW w:w="2943" w:type="dxa"/>
            <w:gridSpan w:val="3"/>
            <w:tcMar>
              <w:top w:w="57" w:type="dxa"/>
              <w:bottom w:w="57" w:type="dxa"/>
            </w:tcMar>
          </w:tcPr>
          <w:p w14:paraId="12163B5D" w14:textId="77777777" w:rsidR="003D1997" w:rsidRPr="003D1997" w:rsidRDefault="003D1997" w:rsidP="005B137B">
            <w:pPr>
              <w:rPr>
                <w:rFonts w:cs="Arial"/>
                <w:b/>
                <w:sz w:val="22"/>
              </w:rPr>
            </w:pPr>
            <w:r w:rsidRPr="003D1997">
              <w:rPr>
                <w:rFonts w:cs="Arial"/>
                <w:b/>
                <w:sz w:val="22"/>
              </w:rPr>
              <w:t>School</w:t>
            </w:r>
          </w:p>
        </w:tc>
        <w:tc>
          <w:tcPr>
            <w:tcW w:w="12474" w:type="dxa"/>
            <w:gridSpan w:val="9"/>
            <w:tcMar>
              <w:top w:w="57" w:type="dxa"/>
              <w:bottom w:w="57" w:type="dxa"/>
            </w:tcMar>
          </w:tcPr>
          <w:p w14:paraId="79F0164E" w14:textId="379F575E" w:rsidR="003D1997" w:rsidRPr="003D1997" w:rsidRDefault="007857A4" w:rsidP="005B137B">
            <w:pPr>
              <w:rPr>
                <w:rFonts w:cs="Arial"/>
                <w:sz w:val="22"/>
              </w:rPr>
            </w:pPr>
            <w:r>
              <w:rPr>
                <w:rFonts w:cs="Arial"/>
                <w:sz w:val="22"/>
              </w:rPr>
              <w:t>Linden Road Academy</w:t>
            </w:r>
          </w:p>
        </w:tc>
      </w:tr>
      <w:tr w:rsidR="003D1997" w:rsidRPr="003D1997" w14:paraId="3BD66FF8" w14:textId="77777777" w:rsidTr="00F62CA7">
        <w:trPr>
          <w:trHeight w:hRule="exact" w:val="340"/>
        </w:trPr>
        <w:tc>
          <w:tcPr>
            <w:tcW w:w="2943" w:type="dxa"/>
            <w:gridSpan w:val="3"/>
            <w:tcMar>
              <w:top w:w="57" w:type="dxa"/>
              <w:bottom w:w="57" w:type="dxa"/>
            </w:tcMar>
          </w:tcPr>
          <w:p w14:paraId="02A5B094" w14:textId="77777777" w:rsidR="003D1997" w:rsidRPr="003D1997" w:rsidRDefault="003D1997" w:rsidP="005B137B">
            <w:pPr>
              <w:rPr>
                <w:rFonts w:cs="Arial"/>
                <w:b/>
                <w:sz w:val="22"/>
              </w:rPr>
            </w:pPr>
            <w:r w:rsidRPr="003D1997">
              <w:rPr>
                <w:rFonts w:cs="Arial"/>
                <w:b/>
                <w:sz w:val="22"/>
              </w:rPr>
              <w:t>Academic Year</w:t>
            </w:r>
          </w:p>
        </w:tc>
        <w:tc>
          <w:tcPr>
            <w:tcW w:w="1135" w:type="dxa"/>
            <w:tcMar>
              <w:top w:w="57" w:type="dxa"/>
              <w:bottom w:w="57" w:type="dxa"/>
            </w:tcMar>
          </w:tcPr>
          <w:p w14:paraId="2973D9DC" w14:textId="6E6473ED" w:rsidR="003D1997" w:rsidRPr="003D1997" w:rsidRDefault="00F62CA7" w:rsidP="00F62CA7">
            <w:pPr>
              <w:rPr>
                <w:rFonts w:cs="Arial"/>
                <w:sz w:val="22"/>
              </w:rPr>
            </w:pPr>
            <w:r>
              <w:rPr>
                <w:rFonts w:cs="Arial"/>
                <w:sz w:val="22"/>
              </w:rPr>
              <w:t>20</w:t>
            </w:r>
            <w:r w:rsidR="003D1997" w:rsidRPr="003D1997">
              <w:rPr>
                <w:rFonts w:cs="Arial"/>
                <w:sz w:val="22"/>
              </w:rPr>
              <w:t>1</w:t>
            </w:r>
            <w:r w:rsidR="00400E28">
              <w:rPr>
                <w:rFonts w:cs="Arial"/>
                <w:sz w:val="22"/>
              </w:rPr>
              <w:t>9-20</w:t>
            </w:r>
          </w:p>
        </w:tc>
        <w:tc>
          <w:tcPr>
            <w:tcW w:w="3968" w:type="dxa"/>
          </w:tcPr>
          <w:p w14:paraId="5C799A53" w14:textId="77777777" w:rsidR="003D1997" w:rsidRPr="003D1997" w:rsidRDefault="003D1997" w:rsidP="005B137B">
            <w:pPr>
              <w:rPr>
                <w:rFonts w:cs="Arial"/>
                <w:sz w:val="22"/>
              </w:rPr>
            </w:pPr>
            <w:r w:rsidRPr="003D1997">
              <w:rPr>
                <w:rFonts w:cs="Arial"/>
                <w:b/>
                <w:sz w:val="22"/>
              </w:rPr>
              <w:t>Total PP budget</w:t>
            </w:r>
          </w:p>
        </w:tc>
        <w:tc>
          <w:tcPr>
            <w:tcW w:w="1134" w:type="dxa"/>
            <w:gridSpan w:val="3"/>
          </w:tcPr>
          <w:p w14:paraId="402244FC" w14:textId="2DD42560" w:rsidR="003D1997" w:rsidRPr="003D1997" w:rsidRDefault="00414D29" w:rsidP="005B137B">
            <w:pPr>
              <w:rPr>
                <w:rFonts w:cs="Arial"/>
                <w:sz w:val="22"/>
              </w:rPr>
            </w:pPr>
            <w:r>
              <w:rPr>
                <w:rFonts w:cs="Arial"/>
                <w:sz w:val="22"/>
              </w:rPr>
              <w:t>£</w:t>
            </w:r>
            <w:r w:rsidR="00480C9C">
              <w:rPr>
                <w:rFonts w:cs="Arial"/>
                <w:sz w:val="22"/>
              </w:rPr>
              <w:t>107,91</w:t>
            </w:r>
            <w:r w:rsidR="00131EB4">
              <w:rPr>
                <w:rFonts w:cs="Arial"/>
                <w:sz w:val="22"/>
              </w:rPr>
              <w:t>0</w:t>
            </w:r>
          </w:p>
        </w:tc>
        <w:tc>
          <w:tcPr>
            <w:tcW w:w="4140" w:type="dxa"/>
            <w:gridSpan w:val="3"/>
          </w:tcPr>
          <w:p w14:paraId="7DBD416C" w14:textId="77777777" w:rsidR="003D1997" w:rsidRPr="003D1997" w:rsidRDefault="003D1997" w:rsidP="005B137B">
            <w:pPr>
              <w:rPr>
                <w:rFonts w:cs="Arial"/>
                <w:sz w:val="22"/>
              </w:rPr>
            </w:pPr>
            <w:r w:rsidRPr="003D1997">
              <w:rPr>
                <w:rFonts w:cs="Arial"/>
                <w:b/>
                <w:sz w:val="22"/>
              </w:rPr>
              <w:t>Date of most recent PP Review</w:t>
            </w:r>
          </w:p>
        </w:tc>
        <w:tc>
          <w:tcPr>
            <w:tcW w:w="2097" w:type="dxa"/>
          </w:tcPr>
          <w:p w14:paraId="6083D02E" w14:textId="3BCA23A1" w:rsidR="003D1997" w:rsidRPr="003D1997" w:rsidRDefault="00D90D62" w:rsidP="005B137B">
            <w:pPr>
              <w:rPr>
                <w:rFonts w:cs="Arial"/>
                <w:sz w:val="22"/>
              </w:rPr>
            </w:pPr>
            <w:r>
              <w:rPr>
                <w:rFonts w:cs="Arial"/>
                <w:sz w:val="22"/>
              </w:rPr>
              <w:t>Spring 2021</w:t>
            </w:r>
          </w:p>
        </w:tc>
      </w:tr>
      <w:tr w:rsidR="003D1997" w:rsidRPr="003D1997" w14:paraId="059165C1" w14:textId="77777777" w:rsidTr="00F62CA7">
        <w:trPr>
          <w:trHeight w:hRule="exact" w:val="681"/>
        </w:trPr>
        <w:tc>
          <w:tcPr>
            <w:tcW w:w="2943" w:type="dxa"/>
            <w:gridSpan w:val="3"/>
            <w:tcMar>
              <w:top w:w="57" w:type="dxa"/>
              <w:bottom w:w="57" w:type="dxa"/>
            </w:tcMar>
          </w:tcPr>
          <w:p w14:paraId="2C924F37" w14:textId="77777777" w:rsidR="003D1997" w:rsidRPr="003D1997" w:rsidRDefault="003D1997" w:rsidP="005B137B">
            <w:pPr>
              <w:contextualSpacing/>
              <w:rPr>
                <w:rFonts w:cs="Arial"/>
                <w:sz w:val="22"/>
              </w:rPr>
            </w:pPr>
            <w:r w:rsidRPr="003D1997">
              <w:rPr>
                <w:rFonts w:cs="Arial"/>
                <w:b/>
                <w:sz w:val="22"/>
              </w:rPr>
              <w:t>Total number of pupils</w:t>
            </w:r>
          </w:p>
        </w:tc>
        <w:tc>
          <w:tcPr>
            <w:tcW w:w="1135" w:type="dxa"/>
            <w:tcMar>
              <w:top w:w="57" w:type="dxa"/>
              <w:bottom w:w="57" w:type="dxa"/>
            </w:tcMar>
          </w:tcPr>
          <w:p w14:paraId="03F5CDD2" w14:textId="5C3019D8" w:rsidR="003D1997" w:rsidRPr="003D1997" w:rsidRDefault="00D90D62" w:rsidP="005B137B">
            <w:pPr>
              <w:contextualSpacing/>
              <w:rPr>
                <w:rFonts w:cs="Arial"/>
                <w:sz w:val="22"/>
              </w:rPr>
            </w:pPr>
            <w:r>
              <w:rPr>
                <w:rFonts w:cs="Arial"/>
                <w:sz w:val="22"/>
              </w:rPr>
              <w:t>248</w:t>
            </w:r>
          </w:p>
        </w:tc>
        <w:tc>
          <w:tcPr>
            <w:tcW w:w="3968" w:type="dxa"/>
          </w:tcPr>
          <w:p w14:paraId="07E5A6CB" w14:textId="77777777" w:rsidR="003D1997" w:rsidRPr="003D1997" w:rsidRDefault="003D1997" w:rsidP="005B137B">
            <w:pPr>
              <w:contextualSpacing/>
              <w:rPr>
                <w:rFonts w:cs="Arial"/>
                <w:sz w:val="22"/>
              </w:rPr>
            </w:pPr>
            <w:r w:rsidRPr="003D1997">
              <w:rPr>
                <w:rFonts w:cs="Arial"/>
                <w:b/>
                <w:sz w:val="22"/>
              </w:rPr>
              <w:t>Number of pupils eligible for PP</w:t>
            </w:r>
          </w:p>
        </w:tc>
        <w:tc>
          <w:tcPr>
            <w:tcW w:w="1134" w:type="dxa"/>
            <w:gridSpan w:val="3"/>
          </w:tcPr>
          <w:p w14:paraId="103C6163" w14:textId="5075C49E" w:rsidR="003D1997" w:rsidRPr="003D1997" w:rsidRDefault="00480C9C" w:rsidP="005B137B">
            <w:pPr>
              <w:contextualSpacing/>
              <w:rPr>
                <w:rFonts w:cs="Arial"/>
                <w:sz w:val="22"/>
              </w:rPr>
            </w:pPr>
            <w:r>
              <w:rPr>
                <w:rFonts w:cs="Arial"/>
                <w:sz w:val="22"/>
              </w:rPr>
              <w:t>78</w:t>
            </w:r>
            <w:r w:rsidR="00E45C69">
              <w:rPr>
                <w:rFonts w:cs="Arial"/>
                <w:sz w:val="22"/>
              </w:rPr>
              <w:t xml:space="preserve"> (</w:t>
            </w:r>
            <w:r w:rsidR="00BD49F2">
              <w:rPr>
                <w:rFonts w:cs="Arial"/>
                <w:sz w:val="22"/>
              </w:rPr>
              <w:t>y</w:t>
            </w:r>
            <w:r w:rsidR="00E45C69">
              <w:rPr>
                <w:rFonts w:cs="Arial"/>
                <w:sz w:val="22"/>
              </w:rPr>
              <w:t>1-6)</w:t>
            </w:r>
          </w:p>
        </w:tc>
        <w:tc>
          <w:tcPr>
            <w:tcW w:w="4140" w:type="dxa"/>
            <w:gridSpan w:val="3"/>
          </w:tcPr>
          <w:p w14:paraId="7770C9CF" w14:textId="77777777" w:rsidR="003D1997" w:rsidRPr="003D1997" w:rsidRDefault="003D1997" w:rsidP="005B137B">
            <w:pPr>
              <w:contextualSpacing/>
              <w:rPr>
                <w:rFonts w:cs="Arial"/>
                <w:sz w:val="22"/>
              </w:rPr>
            </w:pPr>
            <w:r w:rsidRPr="003D1997">
              <w:rPr>
                <w:rFonts w:cs="Arial"/>
                <w:b/>
                <w:sz w:val="22"/>
              </w:rPr>
              <w:t>Date for next internal review of this strategy</w:t>
            </w:r>
          </w:p>
        </w:tc>
        <w:tc>
          <w:tcPr>
            <w:tcW w:w="2097" w:type="dxa"/>
          </w:tcPr>
          <w:p w14:paraId="3CFB08E7" w14:textId="7B2FEEEF" w:rsidR="003D1997" w:rsidRPr="003D1997" w:rsidRDefault="00D90D62" w:rsidP="00F62CA7">
            <w:pPr>
              <w:contextualSpacing/>
              <w:rPr>
                <w:rFonts w:cs="Arial"/>
                <w:sz w:val="22"/>
              </w:rPr>
            </w:pPr>
            <w:r>
              <w:rPr>
                <w:rFonts w:cs="Arial"/>
                <w:sz w:val="22"/>
              </w:rPr>
              <w:t>Summer 2021</w:t>
            </w:r>
          </w:p>
        </w:tc>
      </w:tr>
      <w:tr w:rsidR="003D1997" w:rsidRPr="003D1997" w14:paraId="1192BA9D" w14:textId="77777777" w:rsidTr="0037708A">
        <w:trPr>
          <w:trHeight w:hRule="exact" w:val="289"/>
        </w:trPr>
        <w:tc>
          <w:tcPr>
            <w:tcW w:w="15417" w:type="dxa"/>
            <w:gridSpan w:val="12"/>
            <w:shd w:val="clear" w:color="auto" w:fill="92D050"/>
            <w:tcMar>
              <w:top w:w="57" w:type="dxa"/>
              <w:bottom w:w="57" w:type="dxa"/>
            </w:tcMar>
          </w:tcPr>
          <w:p w14:paraId="3A6A0D73" w14:textId="77777777" w:rsidR="003D1997" w:rsidRPr="003D1997" w:rsidRDefault="003D1997" w:rsidP="005B137B">
            <w:pPr>
              <w:pStyle w:val="ListParagraph"/>
              <w:numPr>
                <w:ilvl w:val="0"/>
                <w:numId w:val="28"/>
              </w:numPr>
              <w:spacing w:after="0" w:line="240" w:lineRule="auto"/>
              <w:ind w:left="426" w:hanging="284"/>
              <w:contextualSpacing w:val="0"/>
              <w:rPr>
                <w:rFonts w:cs="Arial"/>
                <w:b/>
                <w:sz w:val="22"/>
              </w:rPr>
            </w:pPr>
            <w:r w:rsidRPr="003D1997">
              <w:rPr>
                <w:rFonts w:eastAsia="Arial" w:cs="Arial"/>
                <w:b/>
                <w:sz w:val="22"/>
              </w:rPr>
              <w:t xml:space="preserve">Current achievement </w:t>
            </w:r>
          </w:p>
        </w:tc>
      </w:tr>
      <w:tr w:rsidR="003D1997" w:rsidRPr="003D1997" w14:paraId="134FF02C" w14:textId="77777777" w:rsidTr="003D1997">
        <w:trPr>
          <w:trHeight w:hRule="exact" w:val="648"/>
        </w:trPr>
        <w:tc>
          <w:tcPr>
            <w:tcW w:w="8613" w:type="dxa"/>
            <w:gridSpan w:val="6"/>
            <w:tcMar>
              <w:top w:w="57" w:type="dxa"/>
              <w:bottom w:w="57" w:type="dxa"/>
            </w:tcMar>
          </w:tcPr>
          <w:p w14:paraId="450DD79A" w14:textId="52653C41" w:rsidR="003D1997" w:rsidRPr="003D1997" w:rsidRDefault="003D1997" w:rsidP="00D91468">
            <w:pPr>
              <w:pStyle w:val="ListParagraph"/>
              <w:numPr>
                <w:ilvl w:val="0"/>
                <w:numId w:val="0"/>
              </w:numPr>
              <w:ind w:left="720"/>
              <w:jc w:val="center"/>
              <w:rPr>
                <w:rFonts w:cs="Arial"/>
                <w:b/>
                <w:sz w:val="22"/>
              </w:rPr>
            </w:pPr>
            <w:r w:rsidRPr="003D1997">
              <w:rPr>
                <w:rFonts w:cs="Arial"/>
                <w:b/>
                <w:sz w:val="22"/>
              </w:rPr>
              <w:t>End of KS2</w:t>
            </w:r>
            <w:r w:rsidR="00E45C69">
              <w:rPr>
                <w:rFonts w:cs="Arial"/>
                <w:b/>
                <w:sz w:val="22"/>
              </w:rPr>
              <w:t xml:space="preserve"> 201</w:t>
            </w:r>
            <w:r w:rsidR="00D91468">
              <w:rPr>
                <w:rFonts w:cs="Arial"/>
                <w:b/>
                <w:sz w:val="22"/>
              </w:rPr>
              <w:t>9</w:t>
            </w:r>
            <w:r w:rsidRPr="003D1997">
              <w:rPr>
                <w:rFonts w:cs="Arial"/>
                <w:b/>
                <w:sz w:val="22"/>
              </w:rPr>
              <w:t xml:space="preserve"> pupils</w:t>
            </w:r>
            <w:r w:rsidR="00D90D62">
              <w:rPr>
                <w:rFonts w:cs="Arial"/>
                <w:b/>
                <w:sz w:val="22"/>
              </w:rPr>
              <w:t>* (Due to school closure Summer term 2020)</w:t>
            </w:r>
          </w:p>
        </w:tc>
        <w:tc>
          <w:tcPr>
            <w:tcW w:w="3402" w:type="dxa"/>
            <w:gridSpan w:val="4"/>
            <w:shd w:val="clear" w:color="auto" w:fill="FFFFFF" w:themeFill="background1"/>
            <w:tcMar>
              <w:top w:w="57" w:type="dxa"/>
              <w:bottom w:w="57" w:type="dxa"/>
            </w:tcMar>
            <w:vAlign w:val="center"/>
          </w:tcPr>
          <w:p w14:paraId="3F14FC1F" w14:textId="77EEAF75" w:rsidR="003D1997" w:rsidRPr="003D1997" w:rsidRDefault="00DC692D" w:rsidP="005B137B">
            <w:pPr>
              <w:contextualSpacing/>
              <w:jc w:val="center"/>
              <w:rPr>
                <w:rFonts w:cs="Arial"/>
                <w:i/>
                <w:sz w:val="22"/>
              </w:rPr>
            </w:pPr>
            <w:r>
              <w:rPr>
                <w:rFonts w:cs="Arial"/>
                <w:i/>
                <w:sz w:val="22"/>
              </w:rPr>
              <w:t xml:space="preserve">Pupils eligible for PP in </w:t>
            </w:r>
            <w:r w:rsidR="003D1997" w:rsidRPr="003D1997">
              <w:rPr>
                <w:rFonts w:cs="Arial"/>
                <w:i/>
                <w:sz w:val="22"/>
              </w:rPr>
              <w:t>your school</w:t>
            </w:r>
            <w:r w:rsidR="00D91468">
              <w:rPr>
                <w:rFonts w:cs="Arial"/>
                <w:i/>
                <w:sz w:val="22"/>
              </w:rPr>
              <w:t xml:space="preserve"> (2019</w:t>
            </w:r>
            <w:r w:rsidR="00B043EC">
              <w:rPr>
                <w:rFonts w:cs="Arial"/>
                <w:i/>
                <w:sz w:val="22"/>
              </w:rPr>
              <w:t>)</w:t>
            </w:r>
          </w:p>
        </w:tc>
        <w:tc>
          <w:tcPr>
            <w:tcW w:w="3402" w:type="dxa"/>
            <w:gridSpan w:val="2"/>
            <w:shd w:val="clear" w:color="auto" w:fill="FFFFFF" w:themeFill="background1"/>
            <w:tcMar>
              <w:top w:w="57" w:type="dxa"/>
              <w:bottom w:w="57" w:type="dxa"/>
            </w:tcMar>
            <w:vAlign w:val="center"/>
          </w:tcPr>
          <w:p w14:paraId="23190E8D" w14:textId="123E424E" w:rsidR="003D1997" w:rsidRPr="003D1997" w:rsidRDefault="003D1997" w:rsidP="008D65B7">
            <w:pPr>
              <w:contextualSpacing/>
              <w:jc w:val="center"/>
              <w:rPr>
                <w:rFonts w:cs="Arial"/>
                <w:i/>
                <w:sz w:val="22"/>
              </w:rPr>
            </w:pPr>
            <w:r w:rsidRPr="003D1997">
              <w:rPr>
                <w:rFonts w:cs="Arial"/>
                <w:i/>
                <w:sz w:val="22"/>
              </w:rPr>
              <w:t>Pupils not eligible for PP (national average</w:t>
            </w:r>
            <w:r w:rsidR="00B043EC">
              <w:rPr>
                <w:rFonts w:cs="Arial"/>
                <w:i/>
                <w:sz w:val="22"/>
              </w:rPr>
              <w:t xml:space="preserve"> 201</w:t>
            </w:r>
            <w:r w:rsidR="008D65B7">
              <w:rPr>
                <w:rFonts w:cs="Arial"/>
                <w:i/>
                <w:sz w:val="22"/>
              </w:rPr>
              <w:t>9</w:t>
            </w:r>
            <w:r w:rsidRPr="003D1997">
              <w:rPr>
                <w:rFonts w:cs="Arial"/>
                <w:i/>
                <w:sz w:val="22"/>
              </w:rPr>
              <w:t xml:space="preserve">) </w:t>
            </w:r>
          </w:p>
        </w:tc>
      </w:tr>
      <w:tr w:rsidR="003D1997" w:rsidRPr="003D1997" w14:paraId="691398D2" w14:textId="77777777" w:rsidTr="003D1997">
        <w:trPr>
          <w:trHeight w:hRule="exact" w:val="338"/>
        </w:trPr>
        <w:tc>
          <w:tcPr>
            <w:tcW w:w="8613" w:type="dxa"/>
            <w:gridSpan w:val="6"/>
            <w:tcMar>
              <w:top w:w="57" w:type="dxa"/>
              <w:bottom w:w="57" w:type="dxa"/>
            </w:tcMar>
            <w:vAlign w:val="bottom"/>
          </w:tcPr>
          <w:p w14:paraId="7CBD7D41" w14:textId="77777777" w:rsidR="003D1997" w:rsidRPr="003D1997" w:rsidRDefault="003D1997" w:rsidP="005B137B">
            <w:pPr>
              <w:spacing w:line="276" w:lineRule="auto"/>
              <w:ind w:right="-23"/>
              <w:rPr>
                <w:rFonts w:eastAsia="Arial" w:cs="Arial"/>
                <w:b/>
                <w:bCs/>
                <w:color w:val="050505"/>
                <w:sz w:val="22"/>
              </w:rPr>
            </w:pPr>
            <w:r w:rsidRPr="003D1997">
              <w:rPr>
                <w:rFonts w:eastAsia="Arial" w:cs="Arial"/>
                <w:b/>
                <w:bCs/>
                <w:color w:val="050505"/>
                <w:sz w:val="22"/>
              </w:rPr>
              <w:t>% achieving ARE +/ GD in reading</w:t>
            </w:r>
          </w:p>
        </w:tc>
        <w:tc>
          <w:tcPr>
            <w:tcW w:w="1701" w:type="dxa"/>
            <w:gridSpan w:val="3"/>
            <w:shd w:val="clear" w:color="auto" w:fill="auto"/>
            <w:tcMar>
              <w:top w:w="57" w:type="dxa"/>
              <w:bottom w:w="57" w:type="dxa"/>
            </w:tcMar>
            <w:vAlign w:val="center"/>
          </w:tcPr>
          <w:p w14:paraId="0C7B2C70" w14:textId="340E2D20" w:rsidR="003D1997" w:rsidRPr="003D1997" w:rsidRDefault="00D91468" w:rsidP="005B137B">
            <w:pPr>
              <w:ind w:left="187"/>
              <w:jc w:val="center"/>
              <w:rPr>
                <w:rFonts w:cs="Arial"/>
                <w:b/>
                <w:i/>
                <w:sz w:val="22"/>
              </w:rPr>
            </w:pPr>
            <w:r>
              <w:rPr>
                <w:rFonts w:cs="Arial"/>
                <w:b/>
                <w:i/>
                <w:sz w:val="22"/>
              </w:rPr>
              <w:t>40</w:t>
            </w:r>
            <w:r w:rsidR="003D1997" w:rsidRPr="003D1997">
              <w:rPr>
                <w:rFonts w:cs="Arial"/>
                <w:b/>
                <w:i/>
                <w:sz w:val="22"/>
              </w:rPr>
              <w:t>% ARE</w:t>
            </w:r>
          </w:p>
        </w:tc>
        <w:tc>
          <w:tcPr>
            <w:tcW w:w="1701" w:type="dxa"/>
            <w:shd w:val="clear" w:color="auto" w:fill="auto"/>
            <w:vAlign w:val="center"/>
          </w:tcPr>
          <w:p w14:paraId="6C64880C" w14:textId="77777777" w:rsidR="003D1997" w:rsidRPr="003D1997" w:rsidRDefault="003D1997" w:rsidP="005B137B">
            <w:pPr>
              <w:ind w:left="187"/>
              <w:jc w:val="center"/>
              <w:rPr>
                <w:rFonts w:cs="Arial"/>
                <w:b/>
                <w:i/>
                <w:sz w:val="22"/>
              </w:rPr>
            </w:pPr>
            <w:r w:rsidRPr="003D1997">
              <w:rPr>
                <w:rFonts w:cs="Arial"/>
                <w:b/>
                <w:i/>
                <w:sz w:val="22"/>
              </w:rPr>
              <w:t>0% GD</w:t>
            </w:r>
          </w:p>
        </w:tc>
        <w:tc>
          <w:tcPr>
            <w:tcW w:w="3402" w:type="dxa"/>
            <w:gridSpan w:val="2"/>
            <w:shd w:val="clear" w:color="auto" w:fill="F2F2F2" w:themeFill="background1" w:themeFillShade="F2"/>
            <w:tcMar>
              <w:top w:w="57" w:type="dxa"/>
              <w:bottom w:w="57" w:type="dxa"/>
            </w:tcMar>
          </w:tcPr>
          <w:p w14:paraId="67C41983" w14:textId="14BB8D9A" w:rsidR="003D1997" w:rsidRPr="003D1997" w:rsidRDefault="008D183C" w:rsidP="005B137B">
            <w:pPr>
              <w:jc w:val="center"/>
              <w:rPr>
                <w:rFonts w:cs="Arial"/>
                <w:b/>
                <w:i/>
                <w:sz w:val="22"/>
              </w:rPr>
            </w:pPr>
            <w:r>
              <w:rPr>
                <w:rFonts w:cs="Arial"/>
                <w:b/>
                <w:i/>
                <w:sz w:val="22"/>
              </w:rPr>
              <w:t>73%</w:t>
            </w:r>
          </w:p>
        </w:tc>
      </w:tr>
      <w:tr w:rsidR="003D1997" w:rsidRPr="003D1997" w14:paraId="480AB85D" w14:textId="77777777" w:rsidTr="003D1997">
        <w:trPr>
          <w:trHeight w:hRule="exact" w:val="338"/>
        </w:trPr>
        <w:tc>
          <w:tcPr>
            <w:tcW w:w="8613" w:type="dxa"/>
            <w:gridSpan w:val="6"/>
            <w:tcMar>
              <w:top w:w="57" w:type="dxa"/>
              <w:bottom w:w="57" w:type="dxa"/>
            </w:tcMar>
            <w:vAlign w:val="bottom"/>
          </w:tcPr>
          <w:p w14:paraId="2FDA8F26" w14:textId="77777777" w:rsidR="003D1997" w:rsidRPr="003D1997" w:rsidRDefault="003D1997" w:rsidP="005B137B">
            <w:pPr>
              <w:spacing w:line="276" w:lineRule="auto"/>
              <w:ind w:right="-23"/>
              <w:rPr>
                <w:rFonts w:eastAsia="Arial" w:cs="Arial"/>
                <w:b/>
                <w:bCs/>
                <w:color w:val="050505"/>
                <w:sz w:val="22"/>
              </w:rPr>
            </w:pPr>
            <w:r w:rsidRPr="003D1997">
              <w:rPr>
                <w:rFonts w:eastAsia="Arial" w:cs="Arial"/>
                <w:b/>
                <w:bCs/>
                <w:color w:val="050505"/>
                <w:sz w:val="22"/>
              </w:rPr>
              <w:t>% achieving ARE +/ GD in writing</w:t>
            </w:r>
          </w:p>
        </w:tc>
        <w:tc>
          <w:tcPr>
            <w:tcW w:w="1701" w:type="dxa"/>
            <w:gridSpan w:val="3"/>
            <w:shd w:val="clear" w:color="auto" w:fill="auto"/>
            <w:tcMar>
              <w:top w:w="57" w:type="dxa"/>
              <w:bottom w:w="57" w:type="dxa"/>
            </w:tcMar>
            <w:vAlign w:val="center"/>
          </w:tcPr>
          <w:p w14:paraId="6EB27CFE" w14:textId="540CD770" w:rsidR="003D1997" w:rsidRPr="003D1997" w:rsidRDefault="00D91468" w:rsidP="005B137B">
            <w:pPr>
              <w:ind w:left="187"/>
              <w:jc w:val="center"/>
              <w:rPr>
                <w:rFonts w:cs="Arial"/>
                <w:b/>
                <w:sz w:val="22"/>
              </w:rPr>
            </w:pPr>
            <w:r>
              <w:rPr>
                <w:rFonts w:cs="Arial"/>
                <w:b/>
                <w:sz w:val="22"/>
              </w:rPr>
              <w:t>40</w:t>
            </w:r>
            <w:r w:rsidR="003D1997" w:rsidRPr="003D1997">
              <w:rPr>
                <w:rFonts w:cs="Arial"/>
                <w:b/>
                <w:sz w:val="22"/>
              </w:rPr>
              <w:t>% ARE</w:t>
            </w:r>
          </w:p>
        </w:tc>
        <w:tc>
          <w:tcPr>
            <w:tcW w:w="1701" w:type="dxa"/>
            <w:shd w:val="clear" w:color="auto" w:fill="auto"/>
            <w:vAlign w:val="center"/>
          </w:tcPr>
          <w:p w14:paraId="50721475" w14:textId="7951B8EA" w:rsidR="003D1997" w:rsidRPr="003D1997" w:rsidRDefault="000D6F15" w:rsidP="005B137B">
            <w:pPr>
              <w:ind w:left="187"/>
              <w:jc w:val="center"/>
              <w:rPr>
                <w:rFonts w:cs="Arial"/>
                <w:b/>
                <w:sz w:val="22"/>
              </w:rPr>
            </w:pPr>
            <w:r>
              <w:rPr>
                <w:rFonts w:cs="Arial"/>
                <w:b/>
                <w:sz w:val="22"/>
              </w:rPr>
              <w:t>7</w:t>
            </w:r>
            <w:r w:rsidR="003D1997" w:rsidRPr="003D1997">
              <w:rPr>
                <w:rFonts w:cs="Arial"/>
                <w:b/>
                <w:sz w:val="22"/>
              </w:rPr>
              <w:t>% GD</w:t>
            </w:r>
          </w:p>
        </w:tc>
        <w:tc>
          <w:tcPr>
            <w:tcW w:w="3402" w:type="dxa"/>
            <w:gridSpan w:val="2"/>
            <w:shd w:val="clear" w:color="auto" w:fill="F2F2F2" w:themeFill="background1" w:themeFillShade="F2"/>
            <w:tcMar>
              <w:top w:w="57" w:type="dxa"/>
              <w:bottom w:w="57" w:type="dxa"/>
            </w:tcMar>
          </w:tcPr>
          <w:p w14:paraId="4387B3D5" w14:textId="3E2A67CF" w:rsidR="003D1997" w:rsidRPr="003D1997" w:rsidRDefault="008D183C" w:rsidP="000D6F15">
            <w:pPr>
              <w:jc w:val="center"/>
              <w:rPr>
                <w:rFonts w:cs="Arial"/>
                <w:b/>
                <w:i/>
                <w:sz w:val="22"/>
              </w:rPr>
            </w:pPr>
            <w:r>
              <w:rPr>
                <w:rFonts w:cs="Arial"/>
                <w:b/>
                <w:i/>
                <w:sz w:val="22"/>
              </w:rPr>
              <w:t>78%</w:t>
            </w:r>
          </w:p>
        </w:tc>
      </w:tr>
      <w:tr w:rsidR="003D1997" w:rsidRPr="003D1997" w14:paraId="1188E2A5" w14:textId="77777777" w:rsidTr="003D1997">
        <w:trPr>
          <w:trHeight w:hRule="exact" w:val="338"/>
        </w:trPr>
        <w:tc>
          <w:tcPr>
            <w:tcW w:w="8613" w:type="dxa"/>
            <w:gridSpan w:val="6"/>
            <w:tcMar>
              <w:top w:w="57" w:type="dxa"/>
              <w:bottom w:w="57" w:type="dxa"/>
            </w:tcMar>
            <w:vAlign w:val="bottom"/>
          </w:tcPr>
          <w:p w14:paraId="5E4F9449" w14:textId="77777777" w:rsidR="003D1997" w:rsidRPr="003D1997" w:rsidRDefault="003D1997" w:rsidP="005B137B">
            <w:pPr>
              <w:spacing w:line="276" w:lineRule="auto"/>
              <w:ind w:right="-23"/>
              <w:rPr>
                <w:rFonts w:eastAsia="Arial" w:cs="Arial"/>
                <w:b/>
                <w:bCs/>
                <w:color w:val="050505"/>
                <w:sz w:val="22"/>
              </w:rPr>
            </w:pPr>
            <w:r w:rsidRPr="003D1997">
              <w:rPr>
                <w:rFonts w:eastAsia="Arial" w:cs="Arial"/>
                <w:b/>
                <w:bCs/>
                <w:color w:val="050505"/>
                <w:sz w:val="22"/>
              </w:rPr>
              <w:t>% achieving ARE +/ GD in maths</w:t>
            </w:r>
          </w:p>
        </w:tc>
        <w:tc>
          <w:tcPr>
            <w:tcW w:w="1701" w:type="dxa"/>
            <w:gridSpan w:val="3"/>
            <w:shd w:val="clear" w:color="auto" w:fill="auto"/>
            <w:tcMar>
              <w:top w:w="57" w:type="dxa"/>
              <w:bottom w:w="57" w:type="dxa"/>
            </w:tcMar>
            <w:vAlign w:val="center"/>
          </w:tcPr>
          <w:p w14:paraId="2DF89FD1" w14:textId="6C595CCB" w:rsidR="003D1997" w:rsidRPr="003D1997" w:rsidRDefault="00D91468" w:rsidP="005B137B">
            <w:pPr>
              <w:ind w:left="187"/>
              <w:jc w:val="center"/>
              <w:rPr>
                <w:rFonts w:cs="Arial"/>
                <w:b/>
                <w:sz w:val="22"/>
              </w:rPr>
            </w:pPr>
            <w:r>
              <w:rPr>
                <w:rFonts w:cs="Arial"/>
                <w:b/>
                <w:sz w:val="22"/>
              </w:rPr>
              <w:t>20</w:t>
            </w:r>
            <w:r w:rsidR="003D1997" w:rsidRPr="003D1997">
              <w:rPr>
                <w:rFonts w:cs="Arial"/>
                <w:b/>
                <w:sz w:val="22"/>
              </w:rPr>
              <w:t>% ARE</w:t>
            </w:r>
          </w:p>
        </w:tc>
        <w:tc>
          <w:tcPr>
            <w:tcW w:w="1701" w:type="dxa"/>
            <w:shd w:val="clear" w:color="auto" w:fill="auto"/>
            <w:vAlign w:val="center"/>
          </w:tcPr>
          <w:p w14:paraId="3617F2F6" w14:textId="6F78319A" w:rsidR="003D1997" w:rsidRPr="003D1997" w:rsidRDefault="00981F1A" w:rsidP="005B137B">
            <w:pPr>
              <w:ind w:left="187"/>
              <w:jc w:val="center"/>
              <w:rPr>
                <w:rFonts w:cs="Arial"/>
                <w:b/>
                <w:sz w:val="22"/>
              </w:rPr>
            </w:pPr>
            <w:r>
              <w:rPr>
                <w:rFonts w:cs="Arial"/>
                <w:b/>
                <w:sz w:val="22"/>
              </w:rPr>
              <w:t>0</w:t>
            </w:r>
            <w:r w:rsidR="003D1997" w:rsidRPr="003D1997">
              <w:rPr>
                <w:rFonts w:cs="Arial"/>
                <w:b/>
                <w:sz w:val="22"/>
              </w:rPr>
              <w:t>% GD</w:t>
            </w:r>
          </w:p>
        </w:tc>
        <w:tc>
          <w:tcPr>
            <w:tcW w:w="3402" w:type="dxa"/>
            <w:gridSpan w:val="2"/>
            <w:shd w:val="clear" w:color="auto" w:fill="F2F2F2" w:themeFill="background1" w:themeFillShade="F2"/>
            <w:tcMar>
              <w:top w:w="57" w:type="dxa"/>
              <w:bottom w:w="57" w:type="dxa"/>
            </w:tcMar>
          </w:tcPr>
          <w:p w14:paraId="4FD09FA2" w14:textId="6686AFEB" w:rsidR="003D1997" w:rsidRPr="003D1997" w:rsidRDefault="008D183C" w:rsidP="005B137B">
            <w:pPr>
              <w:jc w:val="center"/>
              <w:rPr>
                <w:rFonts w:cs="Arial"/>
                <w:b/>
                <w:i/>
                <w:sz w:val="22"/>
              </w:rPr>
            </w:pPr>
            <w:r>
              <w:rPr>
                <w:rFonts w:cs="Arial"/>
                <w:b/>
                <w:i/>
                <w:sz w:val="22"/>
              </w:rPr>
              <w:t>79%</w:t>
            </w:r>
          </w:p>
        </w:tc>
      </w:tr>
      <w:tr w:rsidR="003D1997" w:rsidRPr="003D1997" w14:paraId="5E08D2EB" w14:textId="77777777" w:rsidTr="003D1997">
        <w:trPr>
          <w:trHeight w:hRule="exact" w:val="338"/>
        </w:trPr>
        <w:tc>
          <w:tcPr>
            <w:tcW w:w="8613" w:type="dxa"/>
            <w:gridSpan w:val="6"/>
            <w:tcMar>
              <w:top w:w="57" w:type="dxa"/>
              <w:bottom w:w="57" w:type="dxa"/>
            </w:tcMar>
            <w:vAlign w:val="bottom"/>
          </w:tcPr>
          <w:p w14:paraId="4B6B90C8" w14:textId="77777777" w:rsidR="003D1997" w:rsidRPr="003D1997" w:rsidRDefault="003D1997" w:rsidP="005B137B">
            <w:pPr>
              <w:spacing w:line="276" w:lineRule="auto"/>
              <w:ind w:right="-23"/>
              <w:rPr>
                <w:rFonts w:eastAsia="Arial" w:cs="Arial"/>
                <w:b/>
                <w:sz w:val="22"/>
              </w:rPr>
            </w:pPr>
            <w:r w:rsidRPr="003D1997">
              <w:rPr>
                <w:rFonts w:eastAsia="Arial" w:cs="Arial"/>
                <w:b/>
                <w:bCs/>
                <w:color w:val="050505"/>
                <w:sz w:val="22"/>
              </w:rPr>
              <w:t>% achieving ARE+/ GD in reading, writing &amp; maths combined</w:t>
            </w:r>
          </w:p>
        </w:tc>
        <w:tc>
          <w:tcPr>
            <w:tcW w:w="1701" w:type="dxa"/>
            <w:gridSpan w:val="3"/>
            <w:shd w:val="clear" w:color="auto" w:fill="auto"/>
            <w:tcMar>
              <w:top w:w="57" w:type="dxa"/>
              <w:bottom w:w="57" w:type="dxa"/>
            </w:tcMar>
            <w:vAlign w:val="center"/>
          </w:tcPr>
          <w:p w14:paraId="789E3560" w14:textId="090DBD80" w:rsidR="003D1997" w:rsidRPr="003D1997" w:rsidRDefault="00D91468" w:rsidP="005B137B">
            <w:pPr>
              <w:ind w:left="187"/>
              <w:jc w:val="center"/>
              <w:rPr>
                <w:rFonts w:cs="Arial"/>
                <w:b/>
                <w:sz w:val="22"/>
              </w:rPr>
            </w:pPr>
            <w:r>
              <w:rPr>
                <w:rFonts w:cs="Arial"/>
                <w:b/>
                <w:sz w:val="22"/>
              </w:rPr>
              <w:t>20</w:t>
            </w:r>
            <w:r w:rsidR="003D1997" w:rsidRPr="003D1997">
              <w:rPr>
                <w:rFonts w:cs="Arial"/>
                <w:b/>
                <w:sz w:val="22"/>
              </w:rPr>
              <w:t>% ARE</w:t>
            </w:r>
          </w:p>
        </w:tc>
        <w:tc>
          <w:tcPr>
            <w:tcW w:w="1701" w:type="dxa"/>
            <w:shd w:val="clear" w:color="auto" w:fill="auto"/>
            <w:vAlign w:val="center"/>
          </w:tcPr>
          <w:p w14:paraId="68729337" w14:textId="77777777" w:rsidR="003D1997" w:rsidRPr="003D1997" w:rsidRDefault="003D1997" w:rsidP="005B137B">
            <w:pPr>
              <w:ind w:left="187"/>
              <w:jc w:val="center"/>
              <w:rPr>
                <w:rFonts w:cs="Arial"/>
                <w:b/>
                <w:sz w:val="22"/>
              </w:rPr>
            </w:pPr>
            <w:r w:rsidRPr="003D1997">
              <w:rPr>
                <w:rFonts w:cs="Arial"/>
                <w:b/>
                <w:sz w:val="22"/>
              </w:rPr>
              <w:t>0% GD</w:t>
            </w:r>
          </w:p>
        </w:tc>
        <w:tc>
          <w:tcPr>
            <w:tcW w:w="3402" w:type="dxa"/>
            <w:gridSpan w:val="2"/>
            <w:shd w:val="clear" w:color="auto" w:fill="F2F2F2" w:themeFill="background1" w:themeFillShade="F2"/>
            <w:tcMar>
              <w:top w:w="57" w:type="dxa"/>
              <w:bottom w:w="57" w:type="dxa"/>
            </w:tcMar>
          </w:tcPr>
          <w:p w14:paraId="0E86A230" w14:textId="602C22B7" w:rsidR="003D1997" w:rsidRPr="003D1997" w:rsidRDefault="008D183C" w:rsidP="00B043EC">
            <w:pPr>
              <w:jc w:val="center"/>
              <w:rPr>
                <w:rFonts w:cs="Arial"/>
                <w:b/>
                <w:i/>
                <w:sz w:val="22"/>
              </w:rPr>
            </w:pPr>
            <w:r>
              <w:rPr>
                <w:rFonts w:cs="Arial"/>
                <w:b/>
                <w:i/>
                <w:sz w:val="22"/>
              </w:rPr>
              <w:t>65%</w:t>
            </w:r>
          </w:p>
        </w:tc>
      </w:tr>
      <w:tr w:rsidR="003D1997" w:rsidRPr="003D1997" w14:paraId="1648F143" w14:textId="77777777" w:rsidTr="003D1997">
        <w:trPr>
          <w:trHeight w:hRule="exact" w:val="332"/>
        </w:trPr>
        <w:tc>
          <w:tcPr>
            <w:tcW w:w="8613" w:type="dxa"/>
            <w:gridSpan w:val="6"/>
            <w:tcMar>
              <w:top w:w="57" w:type="dxa"/>
              <w:bottom w:w="57" w:type="dxa"/>
            </w:tcMar>
            <w:vAlign w:val="bottom"/>
          </w:tcPr>
          <w:p w14:paraId="13906627" w14:textId="500115A1" w:rsidR="003D1997" w:rsidRPr="003D1997" w:rsidRDefault="003D1997" w:rsidP="005B137B">
            <w:pPr>
              <w:spacing w:line="276" w:lineRule="auto"/>
              <w:ind w:right="-23"/>
              <w:rPr>
                <w:rFonts w:eastAsia="Arial" w:cs="Arial"/>
                <w:b/>
                <w:sz w:val="22"/>
              </w:rPr>
            </w:pPr>
            <w:r w:rsidRPr="003D1997">
              <w:rPr>
                <w:rFonts w:eastAsia="Arial" w:cs="Arial"/>
                <w:b/>
                <w:bCs/>
                <w:color w:val="050505"/>
                <w:sz w:val="22"/>
              </w:rPr>
              <w:t xml:space="preserve">Progress score for reading </w:t>
            </w:r>
            <w:r w:rsidR="00792261">
              <w:rPr>
                <w:rFonts w:eastAsia="Arial" w:cs="Arial"/>
                <w:b/>
                <w:bCs/>
                <w:color w:val="050505"/>
                <w:sz w:val="22"/>
              </w:rPr>
              <w:t xml:space="preserve"> </w:t>
            </w:r>
          </w:p>
        </w:tc>
        <w:tc>
          <w:tcPr>
            <w:tcW w:w="3402" w:type="dxa"/>
            <w:gridSpan w:val="4"/>
            <w:shd w:val="clear" w:color="auto" w:fill="auto"/>
            <w:tcMar>
              <w:top w:w="57" w:type="dxa"/>
              <w:bottom w:w="57" w:type="dxa"/>
            </w:tcMar>
            <w:vAlign w:val="center"/>
          </w:tcPr>
          <w:p w14:paraId="25ABA569" w14:textId="4A8A13E3" w:rsidR="003D1997" w:rsidRPr="00933D7E" w:rsidRDefault="002800B4" w:rsidP="005B137B">
            <w:pPr>
              <w:ind w:left="187"/>
              <w:jc w:val="center"/>
              <w:rPr>
                <w:rFonts w:cs="Arial"/>
                <w:b/>
                <w:sz w:val="22"/>
              </w:rPr>
            </w:pPr>
            <w:r>
              <w:rPr>
                <w:rFonts w:cs="Arial"/>
                <w:b/>
                <w:sz w:val="22"/>
              </w:rPr>
              <w:t>-9.23</w:t>
            </w:r>
          </w:p>
        </w:tc>
        <w:tc>
          <w:tcPr>
            <w:tcW w:w="3402" w:type="dxa"/>
            <w:gridSpan w:val="2"/>
            <w:shd w:val="clear" w:color="auto" w:fill="F2F2F2" w:themeFill="background1" w:themeFillShade="F2"/>
            <w:tcMar>
              <w:top w:w="57" w:type="dxa"/>
              <w:bottom w:w="57" w:type="dxa"/>
            </w:tcMar>
          </w:tcPr>
          <w:p w14:paraId="44F56C4F" w14:textId="78AE1D5B" w:rsidR="003D1997" w:rsidRPr="00933D7E" w:rsidRDefault="008D183C" w:rsidP="00846E75">
            <w:pPr>
              <w:jc w:val="center"/>
              <w:rPr>
                <w:rFonts w:cs="Arial"/>
                <w:b/>
                <w:bCs/>
                <w:i/>
                <w:sz w:val="22"/>
              </w:rPr>
            </w:pPr>
            <w:r>
              <w:rPr>
                <w:rFonts w:cs="Arial"/>
                <w:b/>
                <w:bCs/>
                <w:i/>
                <w:sz w:val="22"/>
              </w:rPr>
              <w:t>TBC</w:t>
            </w:r>
          </w:p>
        </w:tc>
      </w:tr>
      <w:tr w:rsidR="003D1997" w:rsidRPr="003D1997" w14:paraId="10DDF1B0" w14:textId="77777777" w:rsidTr="003D1997">
        <w:trPr>
          <w:trHeight w:hRule="exact" w:val="339"/>
        </w:trPr>
        <w:tc>
          <w:tcPr>
            <w:tcW w:w="8613" w:type="dxa"/>
            <w:gridSpan w:val="6"/>
            <w:tcMar>
              <w:top w:w="57" w:type="dxa"/>
              <w:bottom w:w="57" w:type="dxa"/>
            </w:tcMar>
            <w:vAlign w:val="bottom"/>
          </w:tcPr>
          <w:p w14:paraId="075C53A9" w14:textId="77777777" w:rsidR="003D1997" w:rsidRPr="003D1997" w:rsidRDefault="003D1997" w:rsidP="005B137B">
            <w:pPr>
              <w:spacing w:line="276" w:lineRule="auto"/>
              <w:ind w:right="-23"/>
              <w:rPr>
                <w:rFonts w:eastAsia="Arial" w:cs="Arial"/>
                <w:b/>
                <w:bCs/>
                <w:color w:val="050505"/>
                <w:sz w:val="22"/>
              </w:rPr>
            </w:pPr>
            <w:r w:rsidRPr="003D1997">
              <w:rPr>
                <w:rFonts w:eastAsia="Arial" w:cs="Arial"/>
                <w:b/>
                <w:bCs/>
                <w:color w:val="050505"/>
                <w:sz w:val="22"/>
              </w:rPr>
              <w:t>Progress score for writing</w:t>
            </w:r>
          </w:p>
        </w:tc>
        <w:tc>
          <w:tcPr>
            <w:tcW w:w="3402" w:type="dxa"/>
            <w:gridSpan w:val="4"/>
            <w:shd w:val="clear" w:color="auto" w:fill="auto"/>
            <w:tcMar>
              <w:top w:w="57" w:type="dxa"/>
              <w:bottom w:w="57" w:type="dxa"/>
            </w:tcMar>
            <w:vAlign w:val="center"/>
          </w:tcPr>
          <w:p w14:paraId="7C023655" w14:textId="60D22B6B" w:rsidR="003D1997" w:rsidRPr="00933D7E" w:rsidRDefault="002800B4" w:rsidP="005B137B">
            <w:pPr>
              <w:ind w:left="187"/>
              <w:jc w:val="center"/>
              <w:rPr>
                <w:rFonts w:cs="Arial"/>
                <w:b/>
                <w:sz w:val="22"/>
              </w:rPr>
            </w:pPr>
            <w:r>
              <w:rPr>
                <w:rFonts w:cs="Arial"/>
                <w:b/>
                <w:sz w:val="22"/>
              </w:rPr>
              <w:t>-7.92</w:t>
            </w:r>
          </w:p>
        </w:tc>
        <w:tc>
          <w:tcPr>
            <w:tcW w:w="3402" w:type="dxa"/>
            <w:gridSpan w:val="2"/>
            <w:shd w:val="clear" w:color="auto" w:fill="F2F2F2" w:themeFill="background1" w:themeFillShade="F2"/>
            <w:tcMar>
              <w:top w:w="57" w:type="dxa"/>
              <w:bottom w:w="57" w:type="dxa"/>
            </w:tcMar>
          </w:tcPr>
          <w:p w14:paraId="7BEB6711" w14:textId="77A73404" w:rsidR="003D1997" w:rsidRPr="00933D7E" w:rsidRDefault="008D183C" w:rsidP="005B137B">
            <w:pPr>
              <w:jc w:val="center"/>
              <w:rPr>
                <w:rFonts w:cs="Arial"/>
                <w:b/>
                <w:bCs/>
                <w:i/>
                <w:sz w:val="22"/>
              </w:rPr>
            </w:pPr>
            <w:r>
              <w:rPr>
                <w:rFonts w:cs="Arial"/>
                <w:b/>
                <w:bCs/>
                <w:i/>
                <w:sz w:val="22"/>
              </w:rPr>
              <w:t>TBC</w:t>
            </w:r>
          </w:p>
        </w:tc>
      </w:tr>
      <w:tr w:rsidR="003D1997" w:rsidRPr="003D1997" w14:paraId="743FAC0C" w14:textId="77777777" w:rsidTr="003D1997">
        <w:trPr>
          <w:trHeight w:hRule="exact" w:val="334"/>
        </w:trPr>
        <w:tc>
          <w:tcPr>
            <w:tcW w:w="8613" w:type="dxa"/>
            <w:gridSpan w:val="6"/>
            <w:tcMar>
              <w:top w:w="57" w:type="dxa"/>
              <w:bottom w:w="57" w:type="dxa"/>
            </w:tcMar>
            <w:vAlign w:val="bottom"/>
          </w:tcPr>
          <w:p w14:paraId="2D8D9FD1" w14:textId="77777777" w:rsidR="003D1997" w:rsidRPr="003D1997" w:rsidRDefault="003D1997" w:rsidP="005B137B">
            <w:pPr>
              <w:spacing w:line="276" w:lineRule="auto"/>
              <w:ind w:right="-23"/>
              <w:rPr>
                <w:rFonts w:eastAsia="Arial" w:cs="Arial"/>
                <w:b/>
                <w:bCs/>
                <w:color w:val="050505"/>
                <w:sz w:val="22"/>
              </w:rPr>
            </w:pPr>
            <w:r w:rsidRPr="003D1997">
              <w:rPr>
                <w:rFonts w:eastAsia="Arial" w:cs="Arial"/>
                <w:b/>
                <w:bCs/>
                <w:color w:val="050505"/>
                <w:sz w:val="22"/>
              </w:rPr>
              <w:t>Progress score for maths</w:t>
            </w:r>
          </w:p>
        </w:tc>
        <w:tc>
          <w:tcPr>
            <w:tcW w:w="3402" w:type="dxa"/>
            <w:gridSpan w:val="4"/>
            <w:shd w:val="clear" w:color="auto" w:fill="auto"/>
            <w:tcMar>
              <w:top w:w="57" w:type="dxa"/>
              <w:bottom w:w="57" w:type="dxa"/>
            </w:tcMar>
            <w:vAlign w:val="center"/>
          </w:tcPr>
          <w:p w14:paraId="2D38D537" w14:textId="635B3D27" w:rsidR="003D1997" w:rsidRPr="00933D7E" w:rsidRDefault="002800B4" w:rsidP="005B137B">
            <w:pPr>
              <w:ind w:left="187"/>
              <w:jc w:val="center"/>
              <w:rPr>
                <w:rFonts w:cs="Arial"/>
                <w:b/>
                <w:sz w:val="22"/>
              </w:rPr>
            </w:pPr>
            <w:r>
              <w:rPr>
                <w:rFonts w:cs="Arial"/>
                <w:b/>
                <w:sz w:val="22"/>
              </w:rPr>
              <w:t>-8.0</w:t>
            </w:r>
          </w:p>
        </w:tc>
        <w:tc>
          <w:tcPr>
            <w:tcW w:w="3402" w:type="dxa"/>
            <w:gridSpan w:val="2"/>
            <w:shd w:val="clear" w:color="auto" w:fill="F2F2F2" w:themeFill="background1" w:themeFillShade="F2"/>
            <w:tcMar>
              <w:top w:w="57" w:type="dxa"/>
              <w:bottom w:w="57" w:type="dxa"/>
            </w:tcMar>
          </w:tcPr>
          <w:p w14:paraId="785872F9" w14:textId="7B3737F9" w:rsidR="003D1997" w:rsidRPr="00933D7E" w:rsidRDefault="008D183C" w:rsidP="005B137B">
            <w:pPr>
              <w:jc w:val="center"/>
              <w:rPr>
                <w:rFonts w:cs="Arial"/>
                <w:b/>
                <w:bCs/>
                <w:i/>
                <w:sz w:val="22"/>
              </w:rPr>
            </w:pPr>
            <w:r>
              <w:rPr>
                <w:rFonts w:cs="Arial"/>
                <w:b/>
                <w:bCs/>
                <w:i/>
                <w:sz w:val="22"/>
              </w:rPr>
              <w:t>TBC</w:t>
            </w:r>
          </w:p>
        </w:tc>
      </w:tr>
      <w:tr w:rsidR="003D1997" w:rsidRPr="003D1997" w14:paraId="276CB13C" w14:textId="77777777" w:rsidTr="0037708A">
        <w:trPr>
          <w:trHeight w:hRule="exact" w:val="289"/>
        </w:trPr>
        <w:tc>
          <w:tcPr>
            <w:tcW w:w="15417" w:type="dxa"/>
            <w:gridSpan w:val="12"/>
            <w:shd w:val="clear" w:color="auto" w:fill="92D050"/>
            <w:tcMar>
              <w:top w:w="57" w:type="dxa"/>
              <w:bottom w:w="57" w:type="dxa"/>
            </w:tcMar>
          </w:tcPr>
          <w:p w14:paraId="49B83049" w14:textId="77777777" w:rsidR="003D1997" w:rsidRPr="003D1997" w:rsidRDefault="003D1997" w:rsidP="005B137B">
            <w:pPr>
              <w:pStyle w:val="ListParagraph"/>
              <w:numPr>
                <w:ilvl w:val="0"/>
                <w:numId w:val="28"/>
              </w:numPr>
              <w:spacing w:after="0" w:line="240" w:lineRule="auto"/>
              <w:ind w:left="426" w:hanging="284"/>
              <w:contextualSpacing w:val="0"/>
              <w:rPr>
                <w:rFonts w:cs="Arial"/>
                <w:b/>
                <w:sz w:val="22"/>
              </w:rPr>
            </w:pPr>
            <w:r w:rsidRPr="003D1997">
              <w:rPr>
                <w:rFonts w:cs="Arial"/>
                <w:b/>
                <w:sz w:val="22"/>
              </w:rPr>
              <w:t>Barriers to future attainment (for pupils eligible for PP)</w:t>
            </w:r>
          </w:p>
          <w:p w14:paraId="3A2137F6" w14:textId="77777777" w:rsidR="003D1997" w:rsidRPr="003D1997" w:rsidRDefault="003D1997" w:rsidP="005B137B">
            <w:pPr>
              <w:pStyle w:val="ListParagraph"/>
              <w:numPr>
                <w:ilvl w:val="0"/>
                <w:numId w:val="28"/>
              </w:numPr>
              <w:spacing w:after="0" w:line="240" w:lineRule="auto"/>
              <w:ind w:left="426" w:hanging="284"/>
              <w:contextualSpacing w:val="0"/>
              <w:rPr>
                <w:rFonts w:cs="Arial"/>
                <w:b/>
                <w:sz w:val="22"/>
              </w:rPr>
            </w:pPr>
          </w:p>
        </w:tc>
      </w:tr>
      <w:tr w:rsidR="003D1997" w:rsidRPr="003D1997" w14:paraId="6EB538E8" w14:textId="77777777" w:rsidTr="0037708A">
        <w:trPr>
          <w:trHeight w:hRule="exact" w:val="289"/>
        </w:trPr>
        <w:tc>
          <w:tcPr>
            <w:tcW w:w="15417" w:type="dxa"/>
            <w:gridSpan w:val="12"/>
            <w:shd w:val="clear" w:color="auto" w:fill="92D050"/>
            <w:tcMar>
              <w:top w:w="57" w:type="dxa"/>
              <w:bottom w:w="57" w:type="dxa"/>
            </w:tcMar>
          </w:tcPr>
          <w:p w14:paraId="0FD80E9C" w14:textId="77777777" w:rsidR="003D1997" w:rsidRPr="003D1997" w:rsidRDefault="003D1997" w:rsidP="005B137B">
            <w:pPr>
              <w:rPr>
                <w:rFonts w:cs="Arial"/>
                <w:b/>
                <w:sz w:val="22"/>
              </w:rPr>
            </w:pPr>
            <w:r w:rsidRPr="003D1997">
              <w:rPr>
                <w:rFonts w:cs="Arial"/>
                <w:b/>
                <w:sz w:val="22"/>
              </w:rPr>
              <w:t xml:space="preserve">In-school barriers </w:t>
            </w:r>
            <w:r w:rsidRPr="003D1997">
              <w:rPr>
                <w:rFonts w:cs="Arial"/>
                <w:i/>
                <w:sz w:val="22"/>
              </w:rPr>
              <w:t>(issues to be addressed in school, such as poor oral language skills)</w:t>
            </w:r>
          </w:p>
        </w:tc>
      </w:tr>
      <w:tr w:rsidR="00D90D62" w:rsidRPr="003D1997" w14:paraId="17B35629" w14:textId="77777777" w:rsidTr="003D1997">
        <w:trPr>
          <w:trHeight w:hRule="exact" w:val="289"/>
        </w:trPr>
        <w:tc>
          <w:tcPr>
            <w:tcW w:w="862" w:type="dxa"/>
            <w:gridSpan w:val="2"/>
            <w:tcMar>
              <w:top w:w="57" w:type="dxa"/>
              <w:bottom w:w="57" w:type="dxa"/>
            </w:tcMar>
          </w:tcPr>
          <w:p w14:paraId="39550C00" w14:textId="77777777" w:rsidR="00D90D62" w:rsidRPr="003D1997" w:rsidRDefault="00D90D62" w:rsidP="00D90D62">
            <w:pPr>
              <w:pStyle w:val="ListParagraph"/>
              <w:numPr>
                <w:ilvl w:val="0"/>
                <w:numId w:val="25"/>
              </w:numPr>
              <w:tabs>
                <w:tab w:val="left" w:pos="75"/>
              </w:tabs>
              <w:spacing w:after="0" w:line="240" w:lineRule="auto"/>
              <w:ind w:left="426" w:hanging="335"/>
              <w:contextualSpacing w:val="0"/>
              <w:rPr>
                <w:rFonts w:cs="Arial"/>
                <w:b/>
                <w:sz w:val="22"/>
              </w:rPr>
            </w:pPr>
          </w:p>
        </w:tc>
        <w:tc>
          <w:tcPr>
            <w:tcW w:w="14555" w:type="dxa"/>
            <w:gridSpan w:val="10"/>
          </w:tcPr>
          <w:p w14:paraId="0EBA2F40" w14:textId="084C40D9" w:rsidR="00D90D62" w:rsidRPr="008C5D11" w:rsidRDefault="00D90D62" w:rsidP="00D90D62">
            <w:pPr>
              <w:rPr>
                <w:rFonts w:cs="Arial"/>
                <w:sz w:val="20"/>
                <w:szCs w:val="20"/>
              </w:rPr>
            </w:pPr>
            <w:r>
              <w:rPr>
                <w:rFonts w:cs="Arial"/>
                <w:sz w:val="20"/>
                <w:szCs w:val="20"/>
              </w:rPr>
              <w:t>Effect of the school closure and the gaps in learning for this group.</w:t>
            </w:r>
          </w:p>
        </w:tc>
      </w:tr>
      <w:tr w:rsidR="00D90D62" w:rsidRPr="003D1997" w14:paraId="081D190E" w14:textId="77777777" w:rsidTr="003D1997">
        <w:trPr>
          <w:trHeight w:hRule="exact" w:val="289"/>
        </w:trPr>
        <w:tc>
          <w:tcPr>
            <w:tcW w:w="862" w:type="dxa"/>
            <w:gridSpan w:val="2"/>
            <w:tcMar>
              <w:top w:w="57" w:type="dxa"/>
              <w:bottom w:w="57" w:type="dxa"/>
            </w:tcMar>
          </w:tcPr>
          <w:p w14:paraId="2E234809" w14:textId="77777777" w:rsidR="00D90D62" w:rsidRPr="003D1997" w:rsidRDefault="00D90D62" w:rsidP="00D90D62">
            <w:pPr>
              <w:pStyle w:val="ListParagraph"/>
              <w:numPr>
                <w:ilvl w:val="0"/>
                <w:numId w:val="25"/>
              </w:numPr>
              <w:tabs>
                <w:tab w:val="left" w:pos="75"/>
              </w:tabs>
              <w:spacing w:after="0" w:line="240" w:lineRule="auto"/>
              <w:ind w:left="426" w:hanging="335"/>
              <w:contextualSpacing w:val="0"/>
              <w:rPr>
                <w:rFonts w:cs="Arial"/>
                <w:b/>
                <w:sz w:val="22"/>
              </w:rPr>
            </w:pPr>
          </w:p>
        </w:tc>
        <w:tc>
          <w:tcPr>
            <w:tcW w:w="14555" w:type="dxa"/>
            <w:gridSpan w:val="10"/>
          </w:tcPr>
          <w:p w14:paraId="1A8F5784" w14:textId="70608425" w:rsidR="00D90D62" w:rsidRPr="008C5D11" w:rsidRDefault="00D90D62" w:rsidP="00D90D62">
            <w:pPr>
              <w:rPr>
                <w:rFonts w:cs="Arial"/>
                <w:sz w:val="20"/>
                <w:szCs w:val="20"/>
              </w:rPr>
            </w:pPr>
            <w:r w:rsidRPr="008C5D11">
              <w:rPr>
                <w:rFonts w:cs="Arial"/>
                <w:sz w:val="20"/>
                <w:szCs w:val="20"/>
              </w:rPr>
              <w:t xml:space="preserve">The low proportion of pupils in receipt of PPG achieving an understanding with greater depth in all subjects across the school. </w:t>
            </w:r>
          </w:p>
        </w:tc>
      </w:tr>
      <w:tr w:rsidR="00D90D62" w:rsidRPr="003D1997" w14:paraId="1919BBC2" w14:textId="77777777" w:rsidTr="003D1997">
        <w:trPr>
          <w:trHeight w:hRule="exact" w:val="289"/>
        </w:trPr>
        <w:tc>
          <w:tcPr>
            <w:tcW w:w="862" w:type="dxa"/>
            <w:gridSpan w:val="2"/>
            <w:tcMar>
              <w:top w:w="57" w:type="dxa"/>
              <w:bottom w:w="57" w:type="dxa"/>
            </w:tcMar>
          </w:tcPr>
          <w:p w14:paraId="55FD274E" w14:textId="77777777" w:rsidR="00D90D62" w:rsidRPr="003D1997" w:rsidRDefault="00D90D62" w:rsidP="00D90D62">
            <w:pPr>
              <w:pStyle w:val="ListParagraph"/>
              <w:numPr>
                <w:ilvl w:val="0"/>
                <w:numId w:val="25"/>
              </w:numPr>
              <w:tabs>
                <w:tab w:val="left" w:pos="75"/>
              </w:tabs>
              <w:spacing w:after="0" w:line="240" w:lineRule="auto"/>
              <w:ind w:left="426" w:hanging="335"/>
              <w:contextualSpacing w:val="0"/>
              <w:rPr>
                <w:rFonts w:cs="Arial"/>
                <w:b/>
                <w:sz w:val="22"/>
              </w:rPr>
            </w:pPr>
          </w:p>
        </w:tc>
        <w:tc>
          <w:tcPr>
            <w:tcW w:w="14555" w:type="dxa"/>
            <w:gridSpan w:val="10"/>
          </w:tcPr>
          <w:p w14:paraId="6BD9AEF4" w14:textId="41BA6BF0" w:rsidR="00D90D62" w:rsidRPr="008C5D11" w:rsidRDefault="00D90D62" w:rsidP="00D90D62">
            <w:pPr>
              <w:rPr>
                <w:rFonts w:cs="Arial"/>
                <w:sz w:val="20"/>
                <w:szCs w:val="20"/>
              </w:rPr>
            </w:pPr>
            <w:r>
              <w:rPr>
                <w:rFonts w:cs="Arial"/>
                <w:sz w:val="20"/>
                <w:szCs w:val="20"/>
              </w:rPr>
              <w:t>Below average communication and language skills on entry into FS.</w:t>
            </w:r>
          </w:p>
        </w:tc>
      </w:tr>
      <w:tr w:rsidR="00D90D62" w:rsidRPr="003D1997" w14:paraId="3291D431" w14:textId="77777777" w:rsidTr="0037708A">
        <w:trPr>
          <w:trHeight w:hRule="exact" w:val="289"/>
        </w:trPr>
        <w:tc>
          <w:tcPr>
            <w:tcW w:w="15417" w:type="dxa"/>
            <w:gridSpan w:val="12"/>
            <w:shd w:val="clear" w:color="auto" w:fill="92D050"/>
            <w:tcMar>
              <w:top w:w="57" w:type="dxa"/>
              <w:bottom w:w="57" w:type="dxa"/>
            </w:tcMar>
          </w:tcPr>
          <w:p w14:paraId="32B05AA2" w14:textId="77777777" w:rsidR="00D90D62" w:rsidRPr="003D1997" w:rsidRDefault="00D90D62" w:rsidP="00D90D62">
            <w:pPr>
              <w:ind w:left="426"/>
              <w:rPr>
                <w:rFonts w:cs="Arial"/>
                <w:b/>
                <w:sz w:val="22"/>
              </w:rPr>
            </w:pPr>
            <w:r w:rsidRPr="003D1997">
              <w:rPr>
                <w:rFonts w:cs="Arial"/>
                <w:b/>
                <w:sz w:val="22"/>
              </w:rPr>
              <w:t xml:space="preserve">External barriers </w:t>
            </w:r>
            <w:r w:rsidRPr="003D1997">
              <w:rPr>
                <w:rFonts w:cs="Arial"/>
                <w:i/>
                <w:sz w:val="22"/>
              </w:rPr>
              <w:t>(issues which also require action outside school, such as low attendance rates)</w:t>
            </w:r>
          </w:p>
        </w:tc>
      </w:tr>
      <w:tr w:rsidR="00D90D62" w:rsidRPr="003D1997" w14:paraId="14B26355" w14:textId="77777777" w:rsidTr="003D1997">
        <w:trPr>
          <w:trHeight w:hRule="exact" w:val="289"/>
        </w:trPr>
        <w:tc>
          <w:tcPr>
            <w:tcW w:w="862" w:type="dxa"/>
            <w:gridSpan w:val="2"/>
            <w:tcMar>
              <w:top w:w="57" w:type="dxa"/>
              <w:bottom w:w="57" w:type="dxa"/>
            </w:tcMar>
          </w:tcPr>
          <w:p w14:paraId="1F862AE4" w14:textId="77777777" w:rsidR="00D90D62" w:rsidRPr="003D1997" w:rsidRDefault="00D90D62" w:rsidP="00D90D62">
            <w:pPr>
              <w:tabs>
                <w:tab w:val="left" w:pos="60"/>
                <w:tab w:val="left" w:pos="284"/>
              </w:tabs>
              <w:ind w:left="426" w:hanging="321"/>
              <w:rPr>
                <w:rFonts w:cs="Arial"/>
                <w:b/>
                <w:sz w:val="22"/>
              </w:rPr>
            </w:pPr>
            <w:r w:rsidRPr="003D1997">
              <w:rPr>
                <w:rFonts w:cs="Arial"/>
                <w:b/>
                <w:sz w:val="22"/>
              </w:rPr>
              <w:t xml:space="preserve">D. </w:t>
            </w:r>
          </w:p>
        </w:tc>
        <w:tc>
          <w:tcPr>
            <w:tcW w:w="14555" w:type="dxa"/>
            <w:gridSpan w:val="10"/>
          </w:tcPr>
          <w:p w14:paraId="792828CE" w14:textId="652EDE6E" w:rsidR="00D90D62" w:rsidRPr="003D1997" w:rsidRDefault="00D90D62" w:rsidP="00D90D62">
            <w:pPr>
              <w:rPr>
                <w:rFonts w:cs="Arial"/>
                <w:sz w:val="22"/>
              </w:rPr>
            </w:pPr>
            <w:r w:rsidRPr="008C5D11">
              <w:rPr>
                <w:rFonts w:cs="Arial"/>
                <w:sz w:val="20"/>
                <w:szCs w:val="20"/>
              </w:rPr>
              <w:t>Pupils in receipt of the PPG and with SEND are disproportionately represe</w:t>
            </w:r>
            <w:r>
              <w:rPr>
                <w:rFonts w:cs="Arial"/>
                <w:sz w:val="20"/>
                <w:szCs w:val="20"/>
              </w:rPr>
              <w:t xml:space="preserve">nted in groups of children who require additional support for their health and </w:t>
            </w:r>
            <w:proofErr w:type="spellStart"/>
            <w:r>
              <w:rPr>
                <w:rFonts w:cs="Arial"/>
                <w:sz w:val="20"/>
                <w:szCs w:val="20"/>
              </w:rPr>
              <w:t>wellbeing</w:t>
            </w:r>
            <w:r w:rsidRPr="008C5D11">
              <w:rPr>
                <w:rFonts w:cs="Arial"/>
                <w:sz w:val="20"/>
                <w:szCs w:val="20"/>
              </w:rPr>
              <w:t>mental</w:t>
            </w:r>
            <w:proofErr w:type="spellEnd"/>
            <w:r w:rsidRPr="008C5D11">
              <w:rPr>
                <w:rFonts w:cs="Arial"/>
                <w:sz w:val="20"/>
                <w:szCs w:val="20"/>
              </w:rPr>
              <w:t xml:space="preserve"> or emotional challenges. </w:t>
            </w:r>
          </w:p>
        </w:tc>
      </w:tr>
      <w:tr w:rsidR="00D90D62" w:rsidRPr="003D1997" w14:paraId="6890709B" w14:textId="77777777" w:rsidTr="003D1997">
        <w:trPr>
          <w:trHeight w:hRule="exact" w:val="289"/>
        </w:trPr>
        <w:tc>
          <w:tcPr>
            <w:tcW w:w="862" w:type="dxa"/>
            <w:gridSpan w:val="2"/>
            <w:tcMar>
              <w:top w:w="57" w:type="dxa"/>
              <w:bottom w:w="57" w:type="dxa"/>
            </w:tcMar>
          </w:tcPr>
          <w:p w14:paraId="4866A4E2" w14:textId="4B55940C" w:rsidR="00D90D62" w:rsidRPr="003D1997" w:rsidRDefault="00D90D62" w:rsidP="00D90D62">
            <w:pPr>
              <w:tabs>
                <w:tab w:val="left" w:pos="60"/>
                <w:tab w:val="left" w:pos="284"/>
              </w:tabs>
              <w:ind w:left="426" w:hanging="321"/>
              <w:rPr>
                <w:rFonts w:cs="Arial"/>
                <w:b/>
                <w:sz w:val="22"/>
              </w:rPr>
            </w:pPr>
            <w:r>
              <w:rPr>
                <w:rFonts w:cs="Arial"/>
                <w:b/>
                <w:sz w:val="22"/>
              </w:rPr>
              <w:t>E.</w:t>
            </w:r>
          </w:p>
        </w:tc>
        <w:tc>
          <w:tcPr>
            <w:tcW w:w="14555" w:type="dxa"/>
            <w:gridSpan w:val="10"/>
          </w:tcPr>
          <w:p w14:paraId="24D05D1A" w14:textId="4915E49B" w:rsidR="00D90D62" w:rsidRPr="008C5D11" w:rsidRDefault="00D90D62" w:rsidP="00D90D62">
            <w:pPr>
              <w:rPr>
                <w:rFonts w:cs="Arial"/>
                <w:sz w:val="20"/>
                <w:szCs w:val="20"/>
              </w:rPr>
            </w:pPr>
            <w:r>
              <w:rPr>
                <w:rFonts w:cs="Arial"/>
                <w:sz w:val="20"/>
                <w:szCs w:val="20"/>
              </w:rPr>
              <w:t xml:space="preserve">Pupils in </w:t>
            </w:r>
            <w:r w:rsidRPr="008C5D11">
              <w:rPr>
                <w:rFonts w:cs="Arial"/>
                <w:sz w:val="20"/>
                <w:szCs w:val="20"/>
              </w:rPr>
              <w:t>receipt of the PPG</w:t>
            </w:r>
            <w:r>
              <w:rPr>
                <w:rFonts w:cs="Arial"/>
                <w:sz w:val="20"/>
                <w:szCs w:val="20"/>
              </w:rPr>
              <w:t xml:space="preserve"> who have English as an additional language is disproportionate to their peers. 17% of children eligible are EAL compared to 4%.</w:t>
            </w:r>
          </w:p>
        </w:tc>
      </w:tr>
      <w:tr w:rsidR="00D90D62" w:rsidRPr="003D1997" w14:paraId="5748C1B4" w14:textId="77777777" w:rsidTr="000771DF">
        <w:trPr>
          <w:trHeight w:hRule="exact" w:val="289"/>
        </w:trPr>
        <w:tc>
          <w:tcPr>
            <w:tcW w:w="9067" w:type="dxa"/>
            <w:gridSpan w:val="7"/>
            <w:shd w:val="clear" w:color="auto" w:fill="92D050"/>
            <w:tcMar>
              <w:top w:w="57" w:type="dxa"/>
              <w:bottom w:w="57" w:type="dxa"/>
            </w:tcMar>
          </w:tcPr>
          <w:p w14:paraId="1A9972BF" w14:textId="77777777" w:rsidR="00D90D62" w:rsidRPr="003D1997" w:rsidRDefault="00D90D62" w:rsidP="00D90D62">
            <w:pPr>
              <w:pStyle w:val="ListParagraph"/>
              <w:numPr>
                <w:ilvl w:val="0"/>
                <w:numId w:val="28"/>
              </w:numPr>
              <w:ind w:left="567"/>
              <w:rPr>
                <w:rFonts w:cs="Arial"/>
                <w:b/>
                <w:sz w:val="22"/>
              </w:rPr>
            </w:pPr>
            <w:r w:rsidRPr="003D1997">
              <w:rPr>
                <w:rFonts w:cs="Arial"/>
                <w:b/>
                <w:sz w:val="22"/>
              </w:rPr>
              <w:t xml:space="preserve">Desired outcomes </w:t>
            </w:r>
            <w:r w:rsidRPr="003D1997">
              <w:rPr>
                <w:rFonts w:cs="Arial"/>
                <w:i/>
                <w:sz w:val="22"/>
              </w:rPr>
              <w:t>(Desired outcomes and how they will be measured)</w:t>
            </w:r>
          </w:p>
        </w:tc>
        <w:tc>
          <w:tcPr>
            <w:tcW w:w="6350" w:type="dxa"/>
            <w:gridSpan w:val="5"/>
            <w:shd w:val="clear" w:color="auto" w:fill="92D050"/>
          </w:tcPr>
          <w:p w14:paraId="0BD3CC14" w14:textId="77777777" w:rsidR="00D90D62" w:rsidRPr="003D1997" w:rsidRDefault="00D90D62" w:rsidP="00D90D62">
            <w:pPr>
              <w:rPr>
                <w:rFonts w:cs="Arial"/>
                <w:b/>
                <w:sz w:val="22"/>
              </w:rPr>
            </w:pPr>
            <w:r w:rsidRPr="003D1997">
              <w:rPr>
                <w:rFonts w:cs="Arial"/>
                <w:b/>
                <w:sz w:val="22"/>
              </w:rPr>
              <w:t xml:space="preserve">Success criteria </w:t>
            </w:r>
          </w:p>
        </w:tc>
      </w:tr>
      <w:tr w:rsidR="00D90D62" w:rsidRPr="003D1997" w14:paraId="3361279C" w14:textId="77777777" w:rsidTr="000771DF">
        <w:trPr>
          <w:trHeight w:hRule="exact" w:val="289"/>
        </w:trPr>
        <w:tc>
          <w:tcPr>
            <w:tcW w:w="817" w:type="dxa"/>
            <w:tcMar>
              <w:top w:w="57" w:type="dxa"/>
              <w:bottom w:w="57" w:type="dxa"/>
            </w:tcMar>
          </w:tcPr>
          <w:p w14:paraId="1D3BF733" w14:textId="77777777" w:rsidR="00D90D62" w:rsidRPr="003D1997" w:rsidRDefault="00D90D62" w:rsidP="00D90D62">
            <w:pPr>
              <w:pStyle w:val="ListParagraph"/>
              <w:numPr>
                <w:ilvl w:val="0"/>
                <w:numId w:val="29"/>
              </w:numPr>
              <w:tabs>
                <w:tab w:val="left" w:pos="142"/>
              </w:tabs>
              <w:spacing w:after="0" w:line="240" w:lineRule="auto"/>
              <w:ind w:left="426"/>
              <w:contextualSpacing w:val="0"/>
              <w:jc w:val="both"/>
              <w:rPr>
                <w:rFonts w:cs="Arial"/>
                <w:b/>
                <w:sz w:val="22"/>
              </w:rPr>
            </w:pPr>
          </w:p>
        </w:tc>
        <w:tc>
          <w:tcPr>
            <w:tcW w:w="8250" w:type="dxa"/>
            <w:gridSpan w:val="6"/>
            <w:tcMar>
              <w:top w:w="57" w:type="dxa"/>
              <w:bottom w:w="57" w:type="dxa"/>
            </w:tcMar>
          </w:tcPr>
          <w:p w14:paraId="20872D15" w14:textId="59B613DA" w:rsidR="00D90D62" w:rsidRPr="008C5D11" w:rsidRDefault="00D90D62" w:rsidP="00D90D62">
            <w:pPr>
              <w:rPr>
                <w:rFonts w:cs="Arial"/>
                <w:sz w:val="20"/>
                <w:szCs w:val="20"/>
              </w:rPr>
            </w:pPr>
            <w:r w:rsidRPr="008C5D11">
              <w:rPr>
                <w:rFonts w:cs="Arial"/>
                <w:sz w:val="20"/>
                <w:szCs w:val="20"/>
              </w:rPr>
              <w:t xml:space="preserve">Internal and external data will show gap narrowing between PP and non-PP in all subjects. </w:t>
            </w:r>
          </w:p>
        </w:tc>
        <w:tc>
          <w:tcPr>
            <w:tcW w:w="6350" w:type="dxa"/>
            <w:gridSpan w:val="5"/>
          </w:tcPr>
          <w:p w14:paraId="7CD93207" w14:textId="18BCA01F" w:rsidR="00D90D62" w:rsidRPr="000771DF" w:rsidRDefault="00D90D62" w:rsidP="00D90D62">
            <w:pPr>
              <w:rPr>
                <w:rFonts w:cs="Arial"/>
                <w:sz w:val="20"/>
                <w:szCs w:val="20"/>
              </w:rPr>
            </w:pPr>
            <w:r w:rsidRPr="000771DF">
              <w:rPr>
                <w:rFonts w:cs="Arial"/>
                <w:sz w:val="20"/>
                <w:szCs w:val="20"/>
              </w:rPr>
              <w:t xml:space="preserve">Progress across school &gt; 2018-19 </w:t>
            </w:r>
          </w:p>
        </w:tc>
      </w:tr>
      <w:tr w:rsidR="00D90D62" w:rsidRPr="003D1997" w14:paraId="177B394D" w14:textId="77777777" w:rsidTr="000771DF">
        <w:trPr>
          <w:trHeight w:hRule="exact" w:val="628"/>
        </w:trPr>
        <w:tc>
          <w:tcPr>
            <w:tcW w:w="817" w:type="dxa"/>
            <w:tcMar>
              <w:top w:w="57" w:type="dxa"/>
              <w:bottom w:w="57" w:type="dxa"/>
            </w:tcMar>
          </w:tcPr>
          <w:p w14:paraId="31396942" w14:textId="77777777" w:rsidR="00D90D62" w:rsidRPr="003D1997" w:rsidRDefault="00D90D62" w:rsidP="00D90D62">
            <w:pPr>
              <w:pStyle w:val="ListParagraph"/>
              <w:numPr>
                <w:ilvl w:val="0"/>
                <w:numId w:val="29"/>
              </w:numPr>
              <w:tabs>
                <w:tab w:val="left" w:pos="142"/>
              </w:tabs>
              <w:spacing w:after="0" w:line="240" w:lineRule="auto"/>
              <w:ind w:left="426"/>
              <w:contextualSpacing w:val="0"/>
              <w:jc w:val="both"/>
              <w:rPr>
                <w:rFonts w:cs="Arial"/>
                <w:b/>
                <w:sz w:val="22"/>
              </w:rPr>
            </w:pPr>
          </w:p>
        </w:tc>
        <w:tc>
          <w:tcPr>
            <w:tcW w:w="8250" w:type="dxa"/>
            <w:gridSpan w:val="6"/>
            <w:tcMar>
              <w:top w:w="57" w:type="dxa"/>
              <w:bottom w:w="57" w:type="dxa"/>
            </w:tcMar>
          </w:tcPr>
          <w:p w14:paraId="0287DDCD" w14:textId="7E681C98" w:rsidR="00D90D62" w:rsidRPr="008C5D11" w:rsidRDefault="00D90D62" w:rsidP="00D90D62">
            <w:pPr>
              <w:rPr>
                <w:rFonts w:cs="Arial"/>
                <w:sz w:val="20"/>
                <w:szCs w:val="20"/>
              </w:rPr>
            </w:pPr>
            <w:r w:rsidRPr="008C5D11">
              <w:rPr>
                <w:rFonts w:cs="Arial"/>
                <w:sz w:val="20"/>
                <w:szCs w:val="20"/>
              </w:rPr>
              <w:t xml:space="preserve">Internal and external data will show PP GD numbers increasing for each </w:t>
            </w:r>
            <w:r>
              <w:rPr>
                <w:rFonts w:cs="Arial"/>
                <w:sz w:val="20"/>
                <w:szCs w:val="20"/>
              </w:rPr>
              <w:t>year</w:t>
            </w:r>
            <w:r w:rsidRPr="008C5D11">
              <w:rPr>
                <w:rFonts w:cs="Arial"/>
                <w:sz w:val="20"/>
                <w:szCs w:val="20"/>
              </w:rPr>
              <w:t xml:space="preserve"> group.</w:t>
            </w:r>
          </w:p>
        </w:tc>
        <w:tc>
          <w:tcPr>
            <w:tcW w:w="6350" w:type="dxa"/>
            <w:gridSpan w:val="5"/>
          </w:tcPr>
          <w:p w14:paraId="3154A644" w14:textId="13D21E87" w:rsidR="00D90D62" w:rsidRPr="000771DF" w:rsidRDefault="00D90D62" w:rsidP="00D90D62">
            <w:pPr>
              <w:rPr>
                <w:rFonts w:cs="Arial"/>
                <w:sz w:val="20"/>
                <w:szCs w:val="20"/>
              </w:rPr>
            </w:pPr>
            <w:r w:rsidRPr="000771DF">
              <w:rPr>
                <w:rFonts w:cs="Arial"/>
                <w:sz w:val="20"/>
                <w:szCs w:val="20"/>
              </w:rPr>
              <w:t xml:space="preserve">% PPC higher </w:t>
            </w:r>
            <w:proofErr w:type="spellStart"/>
            <w:r w:rsidRPr="000771DF">
              <w:rPr>
                <w:rFonts w:cs="Arial"/>
                <w:sz w:val="20"/>
                <w:szCs w:val="20"/>
              </w:rPr>
              <w:t>attainers</w:t>
            </w:r>
            <w:proofErr w:type="spellEnd"/>
            <w:r w:rsidRPr="000771DF">
              <w:rPr>
                <w:rFonts w:cs="Arial"/>
                <w:sz w:val="20"/>
                <w:szCs w:val="20"/>
              </w:rPr>
              <w:t xml:space="preserve"> &gt; 12% in individual subjects, R, W, M at KS2 and KS1 202</w:t>
            </w:r>
            <w:r w:rsidR="00324F63">
              <w:rPr>
                <w:rFonts w:cs="Arial"/>
                <w:sz w:val="20"/>
                <w:szCs w:val="20"/>
              </w:rPr>
              <w:t>1</w:t>
            </w:r>
          </w:p>
        </w:tc>
      </w:tr>
      <w:tr w:rsidR="00D90D62" w:rsidRPr="003D1997" w14:paraId="740FC280" w14:textId="77777777" w:rsidTr="000771DF">
        <w:trPr>
          <w:trHeight w:hRule="exact" w:val="628"/>
        </w:trPr>
        <w:tc>
          <w:tcPr>
            <w:tcW w:w="817" w:type="dxa"/>
            <w:tcMar>
              <w:top w:w="57" w:type="dxa"/>
              <w:bottom w:w="57" w:type="dxa"/>
            </w:tcMar>
          </w:tcPr>
          <w:p w14:paraId="6D520B19" w14:textId="77777777" w:rsidR="00D90D62" w:rsidRPr="003D1997" w:rsidRDefault="00D90D62" w:rsidP="00D90D62">
            <w:pPr>
              <w:pStyle w:val="ListParagraph"/>
              <w:numPr>
                <w:ilvl w:val="0"/>
                <w:numId w:val="29"/>
              </w:numPr>
              <w:tabs>
                <w:tab w:val="left" w:pos="142"/>
              </w:tabs>
              <w:spacing w:after="0" w:line="240" w:lineRule="auto"/>
              <w:ind w:left="426"/>
              <w:contextualSpacing w:val="0"/>
              <w:jc w:val="both"/>
              <w:rPr>
                <w:rFonts w:cs="Arial"/>
                <w:b/>
                <w:sz w:val="22"/>
              </w:rPr>
            </w:pPr>
          </w:p>
        </w:tc>
        <w:tc>
          <w:tcPr>
            <w:tcW w:w="8250" w:type="dxa"/>
            <w:gridSpan w:val="6"/>
            <w:tcMar>
              <w:top w:w="57" w:type="dxa"/>
              <w:bottom w:w="57" w:type="dxa"/>
            </w:tcMar>
          </w:tcPr>
          <w:p w14:paraId="7F80ACE6" w14:textId="2CF4742C" w:rsidR="00D90D62" w:rsidRPr="008C5D11" w:rsidRDefault="00D90D62" w:rsidP="00D90D62">
            <w:pPr>
              <w:rPr>
                <w:rFonts w:cs="Arial"/>
                <w:sz w:val="20"/>
                <w:szCs w:val="20"/>
              </w:rPr>
            </w:pPr>
            <w:r>
              <w:rPr>
                <w:rFonts w:cs="Arial"/>
                <w:sz w:val="20"/>
                <w:szCs w:val="20"/>
              </w:rPr>
              <w:t>Further improvements in attendance and wellbeing.</w:t>
            </w:r>
          </w:p>
        </w:tc>
        <w:tc>
          <w:tcPr>
            <w:tcW w:w="6350" w:type="dxa"/>
            <w:gridSpan w:val="5"/>
          </w:tcPr>
          <w:p w14:paraId="0675E646" w14:textId="6C8A2AC3" w:rsidR="00D90D62" w:rsidRPr="000771DF" w:rsidRDefault="00D90D62" w:rsidP="00D90D62">
            <w:pPr>
              <w:rPr>
                <w:rFonts w:cs="Arial"/>
                <w:sz w:val="20"/>
                <w:szCs w:val="20"/>
              </w:rPr>
            </w:pPr>
            <w:r w:rsidRPr="000771DF">
              <w:rPr>
                <w:rFonts w:cs="Arial"/>
                <w:sz w:val="20"/>
                <w:szCs w:val="20"/>
              </w:rPr>
              <w:t>PA &lt; 10% of PPC Overall PP attendance % will increase - close to national expectations and in line with non PP pupils.</w:t>
            </w:r>
          </w:p>
        </w:tc>
      </w:tr>
    </w:tbl>
    <w:p w14:paraId="692A592C" w14:textId="75B21F9B" w:rsidR="00326C32" w:rsidRDefault="00326C32" w:rsidP="004F19D4">
      <w:pPr>
        <w:spacing w:after="0"/>
        <w:rPr>
          <w:rFonts w:cs="Arial"/>
        </w:rPr>
      </w:pPr>
    </w:p>
    <w:tbl>
      <w:tblPr>
        <w:tblStyle w:val="TableGrid"/>
        <w:tblW w:w="15536" w:type="dxa"/>
        <w:tblLayout w:type="fixed"/>
        <w:tblLook w:val="04A0" w:firstRow="1" w:lastRow="0" w:firstColumn="1" w:lastColumn="0" w:noHBand="0" w:noVBand="1"/>
      </w:tblPr>
      <w:tblGrid>
        <w:gridCol w:w="2235"/>
        <w:gridCol w:w="17"/>
        <w:gridCol w:w="428"/>
        <w:gridCol w:w="1143"/>
        <w:gridCol w:w="2835"/>
        <w:gridCol w:w="708"/>
        <w:gridCol w:w="3799"/>
        <w:gridCol w:w="85"/>
        <w:gridCol w:w="1332"/>
        <w:gridCol w:w="96"/>
        <w:gridCol w:w="2739"/>
        <w:gridCol w:w="119"/>
      </w:tblGrid>
      <w:tr w:rsidR="00326C32" w:rsidRPr="00326C32" w14:paraId="14E29131" w14:textId="77777777" w:rsidTr="003370AC">
        <w:trPr>
          <w:trHeight w:hRule="exact" w:val="405"/>
        </w:trPr>
        <w:tc>
          <w:tcPr>
            <w:tcW w:w="15536" w:type="dxa"/>
            <w:gridSpan w:val="12"/>
            <w:shd w:val="clear" w:color="auto" w:fill="92D050"/>
            <w:tcMar>
              <w:top w:w="57" w:type="dxa"/>
              <w:bottom w:w="57" w:type="dxa"/>
            </w:tcMar>
          </w:tcPr>
          <w:p w14:paraId="18ABE0FA" w14:textId="1707BFD5"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714D08">
        <w:trPr>
          <w:trHeight w:hRule="exact" w:val="451"/>
        </w:trPr>
        <w:tc>
          <w:tcPr>
            <w:tcW w:w="2680" w:type="dxa"/>
            <w:gridSpan w:val="3"/>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856" w:type="dxa"/>
            <w:gridSpan w:val="9"/>
            <w:shd w:val="clear" w:color="auto" w:fill="auto"/>
          </w:tcPr>
          <w:p w14:paraId="47CF4C7D" w14:textId="6656895F" w:rsidR="00326C32" w:rsidRPr="00326C32" w:rsidRDefault="009A41D9" w:rsidP="000C6B02">
            <w:pPr>
              <w:pStyle w:val="ListParagraph"/>
              <w:numPr>
                <w:ilvl w:val="0"/>
                <w:numId w:val="0"/>
              </w:numPr>
              <w:spacing w:after="360"/>
              <w:ind w:left="426"/>
              <w:contextualSpacing w:val="0"/>
              <w:rPr>
                <w:rFonts w:cs="Arial"/>
                <w:b/>
              </w:rPr>
            </w:pPr>
            <w:r>
              <w:rPr>
                <w:rFonts w:cs="Arial"/>
                <w:b/>
              </w:rPr>
              <w:t>2020-21</w:t>
            </w:r>
          </w:p>
        </w:tc>
      </w:tr>
      <w:tr w:rsidR="00326C32" w:rsidRPr="00326C32" w14:paraId="610DD8D4" w14:textId="77777777" w:rsidTr="003370AC">
        <w:trPr>
          <w:trHeight w:hRule="exact" w:val="948"/>
        </w:trPr>
        <w:tc>
          <w:tcPr>
            <w:tcW w:w="15536" w:type="dxa"/>
            <w:gridSpan w:val="12"/>
            <w:shd w:val="clear" w:color="auto" w:fill="92D050"/>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714D08">
        <w:trPr>
          <w:trHeight w:hRule="exact" w:val="562"/>
        </w:trPr>
        <w:tc>
          <w:tcPr>
            <w:tcW w:w="15536" w:type="dxa"/>
            <w:gridSpan w:val="12"/>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0F78EE">
        <w:trPr>
          <w:trHeight w:hRule="exact" w:val="1558"/>
        </w:trPr>
        <w:tc>
          <w:tcPr>
            <w:tcW w:w="2252" w:type="dxa"/>
            <w:gridSpan w:val="2"/>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1571"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2835" w:type="dxa"/>
            <w:shd w:val="clear" w:color="auto" w:fill="auto"/>
            <w:tcMar>
              <w:top w:w="57" w:type="dxa"/>
              <w:bottom w:w="57" w:type="dxa"/>
            </w:tcMar>
          </w:tcPr>
          <w:p w14:paraId="3514D15F" w14:textId="7D6930CF"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4592" w:type="dxa"/>
            <w:gridSpan w:val="3"/>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28" w:type="dxa"/>
            <w:gridSpan w:val="2"/>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58" w:type="dxa"/>
            <w:gridSpan w:val="2"/>
          </w:tcPr>
          <w:p w14:paraId="2A5B6E99" w14:textId="2A5FA494" w:rsidR="00326C32" w:rsidRPr="00326C32" w:rsidRDefault="00EA4174" w:rsidP="00D04B89">
            <w:pPr>
              <w:spacing w:after="0"/>
              <w:rPr>
                <w:rFonts w:cs="Arial"/>
                <w:b/>
              </w:rPr>
            </w:pPr>
            <w:r>
              <w:rPr>
                <w:rFonts w:cs="Arial"/>
                <w:b/>
              </w:rPr>
              <w:t>When will you review implementation?</w:t>
            </w:r>
          </w:p>
        </w:tc>
      </w:tr>
      <w:tr w:rsidR="000F78EE" w:rsidRPr="00326C32" w14:paraId="3EA44A06" w14:textId="77777777" w:rsidTr="00E77F7E">
        <w:trPr>
          <w:trHeight w:val="211"/>
        </w:trPr>
        <w:tc>
          <w:tcPr>
            <w:tcW w:w="2252" w:type="dxa"/>
            <w:gridSpan w:val="2"/>
            <w:tcMar>
              <w:top w:w="57" w:type="dxa"/>
              <w:bottom w:w="57" w:type="dxa"/>
            </w:tcMar>
          </w:tcPr>
          <w:p w14:paraId="14368330" w14:textId="77777777" w:rsidR="00DB4358" w:rsidRDefault="000F78EE" w:rsidP="00CF7DD0">
            <w:pPr>
              <w:spacing w:after="0"/>
              <w:rPr>
                <w:rFonts w:cs="Arial"/>
                <w:sz w:val="20"/>
              </w:rPr>
            </w:pPr>
            <w:r w:rsidRPr="000F78EE">
              <w:rPr>
                <w:rFonts w:cs="Arial"/>
                <w:sz w:val="20"/>
              </w:rPr>
              <w:t xml:space="preserve">Internal and external data will show gap narrowing between </w:t>
            </w:r>
          </w:p>
          <w:p w14:paraId="15064DA3" w14:textId="0EF4B38D" w:rsidR="000F78EE" w:rsidRPr="000F78EE" w:rsidRDefault="00DB4358" w:rsidP="00CF7DD0">
            <w:pPr>
              <w:spacing w:after="0"/>
              <w:rPr>
                <w:rFonts w:cs="Arial"/>
                <w:sz w:val="20"/>
              </w:rPr>
            </w:pPr>
            <w:r>
              <w:rPr>
                <w:rFonts w:cs="Arial"/>
                <w:sz w:val="20"/>
              </w:rPr>
              <w:t xml:space="preserve">PPC </w:t>
            </w:r>
            <w:r w:rsidR="000F78EE" w:rsidRPr="000F78EE">
              <w:rPr>
                <w:rFonts w:cs="Arial"/>
                <w:sz w:val="20"/>
              </w:rPr>
              <w:t>and non-PP</w:t>
            </w:r>
            <w:r w:rsidR="004C5ACB">
              <w:rPr>
                <w:rFonts w:cs="Arial"/>
                <w:sz w:val="20"/>
              </w:rPr>
              <w:t>C</w:t>
            </w:r>
            <w:r w:rsidR="000F78EE" w:rsidRPr="000F78EE">
              <w:rPr>
                <w:rFonts w:cs="Arial"/>
                <w:sz w:val="20"/>
              </w:rPr>
              <w:t xml:space="preserve"> in all subjects. </w:t>
            </w:r>
          </w:p>
          <w:p w14:paraId="3FF798EC" w14:textId="77777777" w:rsidR="000F78EE" w:rsidRPr="000F78EE" w:rsidRDefault="000F78EE" w:rsidP="00CF7DD0">
            <w:pPr>
              <w:spacing w:after="0"/>
              <w:rPr>
                <w:rFonts w:cs="Arial"/>
                <w:sz w:val="20"/>
              </w:rPr>
            </w:pPr>
          </w:p>
          <w:p w14:paraId="40699C84" w14:textId="78E32BD1" w:rsidR="000F78EE" w:rsidRDefault="000F78EE" w:rsidP="004C5ACB">
            <w:pPr>
              <w:spacing w:after="0"/>
              <w:rPr>
                <w:rFonts w:cs="Arial"/>
                <w:sz w:val="20"/>
              </w:rPr>
            </w:pPr>
            <w:r w:rsidRPr="000F78EE">
              <w:rPr>
                <w:rFonts w:cs="Arial"/>
                <w:sz w:val="20"/>
              </w:rPr>
              <w:t>End</w:t>
            </w:r>
            <w:r w:rsidR="004C5ACB">
              <w:rPr>
                <w:rFonts w:cs="Arial"/>
                <w:sz w:val="20"/>
              </w:rPr>
              <w:t xml:space="preserve"> of KS2</w:t>
            </w:r>
            <w:r w:rsidR="00AE3ADB">
              <w:rPr>
                <w:rFonts w:cs="Arial"/>
                <w:sz w:val="20"/>
              </w:rPr>
              <w:t xml:space="preserve"> results for this cohort, 2021,</w:t>
            </w:r>
          </w:p>
          <w:p w14:paraId="56E0301B" w14:textId="4382FCC1" w:rsidR="004C5ACB" w:rsidRDefault="00AE3ADB" w:rsidP="004C5ACB">
            <w:pPr>
              <w:spacing w:after="0"/>
              <w:rPr>
                <w:rFonts w:cs="Arial"/>
                <w:sz w:val="20"/>
              </w:rPr>
            </w:pPr>
            <w:r>
              <w:rPr>
                <w:rFonts w:cs="Arial"/>
                <w:sz w:val="20"/>
              </w:rPr>
              <w:t>RWM combined is 68</w:t>
            </w:r>
            <w:r w:rsidR="004C5ACB">
              <w:rPr>
                <w:rFonts w:cs="Arial"/>
                <w:sz w:val="20"/>
              </w:rPr>
              <w:t>% ARE</w:t>
            </w:r>
          </w:p>
          <w:p w14:paraId="15DD2100" w14:textId="555FCA49" w:rsidR="004C5ACB" w:rsidRPr="00326C32" w:rsidRDefault="004C5ACB" w:rsidP="004C5ACB">
            <w:pPr>
              <w:spacing w:after="0"/>
              <w:rPr>
                <w:rFonts w:cs="Arial"/>
              </w:rPr>
            </w:pPr>
          </w:p>
        </w:tc>
        <w:tc>
          <w:tcPr>
            <w:tcW w:w="1571" w:type="dxa"/>
            <w:gridSpan w:val="2"/>
            <w:tcMar>
              <w:top w:w="57" w:type="dxa"/>
              <w:bottom w:w="57" w:type="dxa"/>
            </w:tcMar>
          </w:tcPr>
          <w:p w14:paraId="7557E3A4" w14:textId="31098B23" w:rsidR="000F78EE" w:rsidRDefault="00386C62" w:rsidP="000F78EE">
            <w:pPr>
              <w:spacing w:after="0"/>
              <w:rPr>
                <w:rFonts w:cs="Arial"/>
                <w:sz w:val="18"/>
              </w:rPr>
            </w:pPr>
            <w:r>
              <w:rPr>
                <w:rFonts w:cs="Arial"/>
                <w:sz w:val="18"/>
              </w:rPr>
              <w:t>Improving pedagogical implementation</w:t>
            </w:r>
          </w:p>
          <w:p w14:paraId="0A15A72B" w14:textId="461FBD48" w:rsidR="000F78EE" w:rsidRDefault="00DB4358" w:rsidP="000F78EE">
            <w:pPr>
              <w:spacing w:after="0"/>
              <w:rPr>
                <w:rFonts w:cs="Arial"/>
                <w:sz w:val="18"/>
              </w:rPr>
            </w:pPr>
            <w:r>
              <w:rPr>
                <w:rFonts w:cs="Arial"/>
                <w:sz w:val="18"/>
              </w:rPr>
              <w:t>Support for teachers in refining task design for learners to make at least good progress.</w:t>
            </w:r>
          </w:p>
          <w:p w14:paraId="4AAD3E02" w14:textId="7E8BCC0E" w:rsidR="00386C62" w:rsidRDefault="00386C62" w:rsidP="000F78EE">
            <w:pPr>
              <w:spacing w:after="0"/>
              <w:rPr>
                <w:rFonts w:cs="Arial"/>
                <w:sz w:val="18"/>
              </w:rPr>
            </w:pPr>
          </w:p>
          <w:p w14:paraId="54204420" w14:textId="77777777" w:rsidR="00386C62" w:rsidRDefault="00386C62" w:rsidP="000F78EE">
            <w:pPr>
              <w:spacing w:after="0"/>
              <w:rPr>
                <w:rFonts w:cs="Arial"/>
                <w:sz w:val="18"/>
              </w:rPr>
            </w:pPr>
          </w:p>
          <w:p w14:paraId="7E369EC7" w14:textId="77777777" w:rsidR="000F78EE" w:rsidRDefault="000F78EE" w:rsidP="00CF7DD0">
            <w:pPr>
              <w:spacing w:after="0"/>
              <w:rPr>
                <w:rFonts w:cs="Arial"/>
                <w:sz w:val="18"/>
              </w:rPr>
            </w:pPr>
          </w:p>
          <w:p w14:paraId="5F47CD3F" w14:textId="14E83F40" w:rsidR="000F78EE" w:rsidRPr="00C16CE2" w:rsidRDefault="000F78EE" w:rsidP="00CF7DD0">
            <w:pPr>
              <w:spacing w:after="0"/>
              <w:rPr>
                <w:rFonts w:cs="Arial"/>
                <w:sz w:val="22"/>
              </w:rPr>
            </w:pPr>
          </w:p>
        </w:tc>
        <w:tc>
          <w:tcPr>
            <w:tcW w:w="2835" w:type="dxa"/>
            <w:tcMar>
              <w:top w:w="57" w:type="dxa"/>
              <w:bottom w:w="57" w:type="dxa"/>
            </w:tcMar>
          </w:tcPr>
          <w:p w14:paraId="4767F083" w14:textId="1083F40C" w:rsidR="000F78EE" w:rsidRDefault="001459AC" w:rsidP="00CF7DD0">
            <w:pPr>
              <w:spacing w:after="0"/>
              <w:rPr>
                <w:rFonts w:cs="Arial"/>
                <w:color w:val="auto"/>
                <w:sz w:val="20"/>
                <w:szCs w:val="20"/>
              </w:rPr>
            </w:pPr>
            <w:r w:rsidRPr="001459AC">
              <w:rPr>
                <w:rFonts w:cs="Arial"/>
                <w:color w:val="auto"/>
                <w:sz w:val="20"/>
                <w:szCs w:val="20"/>
              </w:rPr>
              <w:t>The EEF guide to The Pupil Premium, research paper highlights Quality first teaching as one of the 5 key principles of best practice in using the Pupil Premium funding to raise attainment for this group of pupils.</w:t>
            </w:r>
          </w:p>
          <w:p w14:paraId="31363931" w14:textId="14657803" w:rsidR="00E77F7E" w:rsidRDefault="00E77F7E" w:rsidP="00CF7DD0">
            <w:pPr>
              <w:spacing w:after="0"/>
              <w:rPr>
                <w:rFonts w:cs="Arial"/>
                <w:color w:val="auto"/>
                <w:sz w:val="20"/>
                <w:szCs w:val="20"/>
              </w:rPr>
            </w:pPr>
          </w:p>
          <w:p w14:paraId="13B9D4F9" w14:textId="7BF5D668" w:rsidR="00E77F7E" w:rsidRPr="001459AC" w:rsidRDefault="00E77F7E" w:rsidP="00CF7DD0">
            <w:pPr>
              <w:spacing w:after="0"/>
              <w:rPr>
                <w:rFonts w:cs="Arial"/>
                <w:color w:val="auto"/>
                <w:sz w:val="20"/>
                <w:szCs w:val="20"/>
              </w:rPr>
            </w:pPr>
            <w:r>
              <w:rPr>
                <w:rFonts w:cs="Arial"/>
                <w:color w:val="auto"/>
                <w:sz w:val="20"/>
                <w:szCs w:val="20"/>
              </w:rPr>
              <w:t>In school data shows that this group of pupils does make up a large</w:t>
            </w:r>
            <w:r w:rsidR="00AB4476">
              <w:rPr>
                <w:rFonts w:cs="Arial"/>
                <w:color w:val="auto"/>
                <w:sz w:val="20"/>
                <w:szCs w:val="20"/>
              </w:rPr>
              <w:t xml:space="preserve"> propo</w:t>
            </w:r>
            <w:r>
              <w:rPr>
                <w:rFonts w:cs="Arial"/>
                <w:color w:val="auto"/>
                <w:sz w:val="20"/>
                <w:szCs w:val="20"/>
              </w:rPr>
              <w:t xml:space="preserve">rtion of low attaining </w:t>
            </w:r>
            <w:r w:rsidR="008D08A4">
              <w:rPr>
                <w:rFonts w:cs="Arial"/>
                <w:color w:val="auto"/>
                <w:sz w:val="20"/>
                <w:szCs w:val="20"/>
              </w:rPr>
              <w:t>pupils.</w:t>
            </w:r>
          </w:p>
          <w:p w14:paraId="7E480AAC" w14:textId="77777777" w:rsidR="000F78EE" w:rsidRPr="001459AC" w:rsidRDefault="000F78EE" w:rsidP="00CF7DD0">
            <w:pPr>
              <w:spacing w:after="0"/>
              <w:rPr>
                <w:rFonts w:cs="Arial"/>
                <w:color w:val="auto"/>
                <w:sz w:val="20"/>
                <w:szCs w:val="20"/>
              </w:rPr>
            </w:pPr>
          </w:p>
          <w:p w14:paraId="6099D854" w14:textId="1587D8E0" w:rsidR="002272E4" w:rsidRPr="001459AC" w:rsidRDefault="002272E4" w:rsidP="00CF7DD0">
            <w:pPr>
              <w:spacing w:after="0"/>
              <w:rPr>
                <w:rFonts w:cs="Arial"/>
                <w:color w:val="auto"/>
                <w:sz w:val="20"/>
                <w:szCs w:val="20"/>
              </w:rPr>
            </w:pPr>
          </w:p>
        </w:tc>
        <w:tc>
          <w:tcPr>
            <w:tcW w:w="4592" w:type="dxa"/>
            <w:gridSpan w:val="3"/>
            <w:shd w:val="clear" w:color="auto" w:fill="auto"/>
            <w:tcMar>
              <w:top w:w="57" w:type="dxa"/>
              <w:bottom w:w="57" w:type="dxa"/>
            </w:tcMar>
          </w:tcPr>
          <w:p w14:paraId="5AAF3DAD" w14:textId="6F9F8333" w:rsidR="001459AC" w:rsidRDefault="001459AC" w:rsidP="004C5ACB">
            <w:pPr>
              <w:pStyle w:val="ListParagraph"/>
              <w:numPr>
                <w:ilvl w:val="0"/>
                <w:numId w:val="42"/>
              </w:numPr>
              <w:spacing w:after="0"/>
              <w:rPr>
                <w:rFonts w:cs="Arial"/>
                <w:sz w:val="20"/>
                <w:szCs w:val="20"/>
              </w:rPr>
            </w:pPr>
            <w:r>
              <w:rPr>
                <w:rFonts w:cs="Arial"/>
                <w:sz w:val="20"/>
                <w:szCs w:val="20"/>
              </w:rPr>
              <w:t>SLT will quality assure the implementation, alongside external assurance from the Enquire Learning Trust.</w:t>
            </w:r>
          </w:p>
          <w:p w14:paraId="55792015" w14:textId="33495677" w:rsidR="00E77F7E" w:rsidRDefault="00E77F7E" w:rsidP="004C5ACB">
            <w:pPr>
              <w:pStyle w:val="ListParagraph"/>
              <w:numPr>
                <w:ilvl w:val="0"/>
                <w:numId w:val="42"/>
              </w:numPr>
              <w:spacing w:after="0"/>
              <w:rPr>
                <w:rFonts w:cs="Arial"/>
                <w:sz w:val="20"/>
                <w:szCs w:val="20"/>
              </w:rPr>
            </w:pPr>
            <w:r>
              <w:rPr>
                <w:rFonts w:cs="Arial"/>
                <w:sz w:val="20"/>
                <w:szCs w:val="20"/>
              </w:rPr>
              <w:t>SLT will use the EEF ‘School’s Guide to Implementation’ to support the implementation process.</w:t>
            </w:r>
          </w:p>
          <w:p w14:paraId="3C9C18D3" w14:textId="77777777" w:rsidR="00324F63" w:rsidRDefault="00324F63" w:rsidP="00324F63">
            <w:pPr>
              <w:pStyle w:val="ListParagraph"/>
              <w:numPr>
                <w:ilvl w:val="0"/>
                <w:numId w:val="42"/>
              </w:numPr>
              <w:spacing w:after="0"/>
              <w:rPr>
                <w:rFonts w:cs="Arial"/>
                <w:sz w:val="20"/>
                <w:szCs w:val="20"/>
              </w:rPr>
            </w:pPr>
            <w:r>
              <w:rPr>
                <w:rFonts w:cs="Arial"/>
                <w:sz w:val="20"/>
                <w:szCs w:val="20"/>
              </w:rPr>
              <w:t xml:space="preserve">All teachers will receive support from SLT to implement </w:t>
            </w:r>
            <w:proofErr w:type="spellStart"/>
            <w:r>
              <w:rPr>
                <w:rFonts w:cs="Arial"/>
                <w:sz w:val="20"/>
                <w:szCs w:val="20"/>
              </w:rPr>
              <w:t>Rosenshine’s</w:t>
            </w:r>
            <w:proofErr w:type="spellEnd"/>
            <w:r>
              <w:rPr>
                <w:rFonts w:cs="Arial"/>
                <w:sz w:val="20"/>
                <w:szCs w:val="20"/>
              </w:rPr>
              <w:t xml:space="preserve"> Principles of Instruction to underpin great learning in every lesson, in every classroom.  Teachers will use enquiry processes to observe colleagues in Linden Road and in other schools in the Enquire Learning Trust.  </w:t>
            </w:r>
          </w:p>
          <w:p w14:paraId="1F86E5E1" w14:textId="77777777" w:rsidR="00324F63" w:rsidRPr="004C5ACB" w:rsidRDefault="00324F63" w:rsidP="00324F63">
            <w:pPr>
              <w:pStyle w:val="ListParagraph"/>
              <w:numPr>
                <w:ilvl w:val="0"/>
                <w:numId w:val="0"/>
              </w:numPr>
              <w:spacing w:after="0"/>
              <w:ind w:left="720"/>
              <w:rPr>
                <w:rFonts w:cs="Arial"/>
                <w:sz w:val="20"/>
                <w:szCs w:val="20"/>
              </w:rPr>
            </w:pPr>
          </w:p>
          <w:p w14:paraId="3511066F" w14:textId="77777777" w:rsidR="000F78EE" w:rsidRPr="00714D08" w:rsidRDefault="000F78EE" w:rsidP="00B72C6E">
            <w:pPr>
              <w:pStyle w:val="ListParagraph"/>
              <w:numPr>
                <w:ilvl w:val="0"/>
                <w:numId w:val="0"/>
              </w:numPr>
              <w:spacing w:after="0"/>
              <w:ind w:left="720"/>
              <w:rPr>
                <w:rFonts w:cs="Arial"/>
                <w:sz w:val="8"/>
                <w:szCs w:val="20"/>
              </w:rPr>
            </w:pPr>
          </w:p>
          <w:p w14:paraId="69FA81C1" w14:textId="393AFDA8" w:rsidR="000F78EE" w:rsidRPr="00714D08" w:rsidRDefault="000F78EE" w:rsidP="006D408E">
            <w:pPr>
              <w:pStyle w:val="ListParagraph"/>
              <w:numPr>
                <w:ilvl w:val="0"/>
                <w:numId w:val="0"/>
              </w:numPr>
              <w:ind w:left="720"/>
              <w:rPr>
                <w:rFonts w:cs="Arial"/>
                <w:sz w:val="12"/>
                <w:szCs w:val="20"/>
              </w:rPr>
            </w:pPr>
          </w:p>
          <w:p w14:paraId="2F980B59" w14:textId="77777777" w:rsidR="000F78EE" w:rsidRPr="006D408E" w:rsidRDefault="000F78EE" w:rsidP="00B72C6E">
            <w:pPr>
              <w:pStyle w:val="ListParagraph"/>
              <w:numPr>
                <w:ilvl w:val="0"/>
                <w:numId w:val="0"/>
              </w:numPr>
              <w:ind w:left="720"/>
              <w:rPr>
                <w:rFonts w:cs="Arial"/>
                <w:sz w:val="20"/>
                <w:szCs w:val="20"/>
              </w:rPr>
            </w:pPr>
          </w:p>
          <w:p w14:paraId="090D04AE" w14:textId="0842C2D3" w:rsidR="000F78EE" w:rsidRPr="00326C32" w:rsidRDefault="000F78EE" w:rsidP="007E610B">
            <w:pPr>
              <w:pStyle w:val="ListParagraph"/>
              <w:numPr>
                <w:ilvl w:val="0"/>
                <w:numId w:val="0"/>
              </w:numPr>
              <w:spacing w:after="0"/>
              <w:ind w:left="720"/>
              <w:rPr>
                <w:rFonts w:cs="Arial"/>
              </w:rPr>
            </w:pPr>
          </w:p>
        </w:tc>
        <w:tc>
          <w:tcPr>
            <w:tcW w:w="1428" w:type="dxa"/>
            <w:gridSpan w:val="2"/>
            <w:shd w:val="clear" w:color="auto" w:fill="auto"/>
          </w:tcPr>
          <w:p w14:paraId="5B6D55D3" w14:textId="7A9D6944" w:rsidR="000F78EE" w:rsidRDefault="000F78EE" w:rsidP="006D408E">
            <w:pPr>
              <w:spacing w:after="0"/>
              <w:rPr>
                <w:rFonts w:cs="Arial"/>
                <w:sz w:val="18"/>
              </w:rPr>
            </w:pPr>
            <w:r>
              <w:rPr>
                <w:rFonts w:cs="Arial"/>
                <w:sz w:val="18"/>
              </w:rPr>
              <w:t xml:space="preserve">Vice Principal </w:t>
            </w:r>
            <w:r w:rsidR="001459AC">
              <w:rPr>
                <w:rFonts w:cs="Arial"/>
                <w:sz w:val="18"/>
              </w:rPr>
              <w:t>and Assistant Vice Principal,</w:t>
            </w:r>
          </w:p>
          <w:p w14:paraId="03DC4AF8" w14:textId="6FA7C159" w:rsidR="001459AC" w:rsidRDefault="001459AC" w:rsidP="006D408E">
            <w:pPr>
              <w:spacing w:after="0"/>
              <w:rPr>
                <w:rFonts w:cs="Arial"/>
                <w:sz w:val="18"/>
              </w:rPr>
            </w:pPr>
          </w:p>
          <w:p w14:paraId="11B16D65" w14:textId="4DD0D721" w:rsidR="001459AC" w:rsidRDefault="001459AC" w:rsidP="006D408E">
            <w:pPr>
              <w:spacing w:after="0"/>
              <w:rPr>
                <w:rFonts w:cs="Arial"/>
                <w:sz w:val="18"/>
              </w:rPr>
            </w:pPr>
            <w:r>
              <w:rPr>
                <w:rFonts w:cs="Arial"/>
                <w:sz w:val="18"/>
              </w:rPr>
              <w:t>Principal</w:t>
            </w:r>
          </w:p>
          <w:p w14:paraId="5FD9DBD0" w14:textId="492BC651" w:rsidR="001459AC" w:rsidRDefault="001459AC" w:rsidP="006D408E">
            <w:pPr>
              <w:spacing w:after="0"/>
              <w:rPr>
                <w:rFonts w:cs="Arial"/>
                <w:sz w:val="18"/>
              </w:rPr>
            </w:pPr>
          </w:p>
          <w:p w14:paraId="2F63FADA" w14:textId="3CB32590" w:rsidR="001459AC" w:rsidRDefault="001459AC" w:rsidP="006D408E">
            <w:pPr>
              <w:spacing w:after="0"/>
              <w:rPr>
                <w:rFonts w:cs="Arial"/>
                <w:sz w:val="18"/>
              </w:rPr>
            </w:pPr>
            <w:r>
              <w:rPr>
                <w:rFonts w:cs="Arial"/>
                <w:sz w:val="18"/>
              </w:rPr>
              <w:t>English lead teacher</w:t>
            </w:r>
          </w:p>
          <w:p w14:paraId="3FB4EAD7" w14:textId="29B8982E" w:rsidR="001459AC" w:rsidRDefault="001459AC" w:rsidP="006D408E">
            <w:pPr>
              <w:spacing w:after="0"/>
              <w:rPr>
                <w:rFonts w:cs="Arial"/>
                <w:sz w:val="18"/>
              </w:rPr>
            </w:pPr>
          </w:p>
          <w:p w14:paraId="29B2EA7D" w14:textId="54BE1386" w:rsidR="001459AC" w:rsidRPr="00C16CE2" w:rsidRDefault="001459AC" w:rsidP="006D408E">
            <w:pPr>
              <w:spacing w:after="0"/>
              <w:rPr>
                <w:rFonts w:cs="Arial"/>
                <w:sz w:val="20"/>
              </w:rPr>
            </w:pPr>
            <w:r>
              <w:rPr>
                <w:rFonts w:cs="Arial"/>
                <w:sz w:val="18"/>
              </w:rPr>
              <w:t>EYFS lead</w:t>
            </w:r>
          </w:p>
          <w:p w14:paraId="4F47337C" w14:textId="77777777" w:rsidR="000F78EE" w:rsidRDefault="000F78EE" w:rsidP="00CF7DD0">
            <w:pPr>
              <w:spacing w:after="0"/>
              <w:rPr>
                <w:rFonts w:cs="Arial"/>
                <w:sz w:val="18"/>
              </w:rPr>
            </w:pPr>
          </w:p>
          <w:p w14:paraId="12605A40" w14:textId="715EC3B7" w:rsidR="000F78EE" w:rsidRDefault="000F78EE" w:rsidP="00CF7DD0">
            <w:pPr>
              <w:spacing w:after="0"/>
              <w:rPr>
                <w:rFonts w:cs="Arial"/>
                <w:sz w:val="18"/>
              </w:rPr>
            </w:pPr>
          </w:p>
          <w:p w14:paraId="5B872509" w14:textId="1912BCBF" w:rsidR="000F78EE" w:rsidRDefault="000F78EE" w:rsidP="00CF7DD0">
            <w:pPr>
              <w:spacing w:after="0"/>
              <w:rPr>
                <w:rFonts w:cs="Arial"/>
                <w:sz w:val="18"/>
              </w:rPr>
            </w:pPr>
          </w:p>
          <w:p w14:paraId="3D9A08AA" w14:textId="77777777" w:rsidR="000F78EE" w:rsidRDefault="000F78EE" w:rsidP="00CF7DD0">
            <w:pPr>
              <w:spacing w:after="0"/>
              <w:rPr>
                <w:rFonts w:cs="Arial"/>
              </w:rPr>
            </w:pPr>
          </w:p>
          <w:p w14:paraId="53794BD8" w14:textId="16BB223B" w:rsidR="000F78EE" w:rsidRPr="000E799C" w:rsidRDefault="000F78EE" w:rsidP="00CF7DD0">
            <w:pPr>
              <w:spacing w:after="0"/>
              <w:rPr>
                <w:rFonts w:cs="Arial"/>
                <w:i/>
              </w:rPr>
            </w:pPr>
          </w:p>
        </w:tc>
        <w:tc>
          <w:tcPr>
            <w:tcW w:w="2858" w:type="dxa"/>
            <w:gridSpan w:val="2"/>
          </w:tcPr>
          <w:p w14:paraId="63520019" w14:textId="5E48D27D" w:rsidR="000F78EE" w:rsidRDefault="000F78EE" w:rsidP="00CF7DD0">
            <w:pPr>
              <w:spacing w:after="0"/>
              <w:rPr>
                <w:rFonts w:cs="Arial"/>
                <w:sz w:val="20"/>
              </w:rPr>
            </w:pPr>
            <w:r>
              <w:rPr>
                <w:rFonts w:cs="Arial"/>
                <w:sz w:val="20"/>
              </w:rPr>
              <w:t>Base</w:t>
            </w:r>
            <w:r w:rsidR="00324F63">
              <w:rPr>
                <w:rFonts w:cs="Arial"/>
                <w:sz w:val="20"/>
              </w:rPr>
              <w:t>line established: September 2021</w:t>
            </w:r>
          </w:p>
          <w:p w14:paraId="295D1346" w14:textId="77777777" w:rsidR="000F78EE" w:rsidRDefault="000F78EE" w:rsidP="00CF7DD0">
            <w:pPr>
              <w:spacing w:after="0"/>
              <w:rPr>
                <w:rFonts w:cs="Arial"/>
                <w:sz w:val="20"/>
              </w:rPr>
            </w:pPr>
          </w:p>
          <w:p w14:paraId="200CD5B6" w14:textId="2A81F38A" w:rsidR="000F78EE" w:rsidRDefault="007E610B" w:rsidP="00CF7DD0">
            <w:pPr>
              <w:spacing w:after="0"/>
              <w:rPr>
                <w:rFonts w:cs="Arial"/>
                <w:sz w:val="20"/>
              </w:rPr>
            </w:pPr>
            <w:r>
              <w:rPr>
                <w:rFonts w:cs="Arial"/>
                <w:sz w:val="20"/>
              </w:rPr>
              <w:t>PPC</w:t>
            </w:r>
            <w:r w:rsidR="000F78EE">
              <w:rPr>
                <w:rFonts w:cs="Arial"/>
                <w:sz w:val="20"/>
              </w:rPr>
              <w:t xml:space="preserve"> Pupil Progress updates: </w:t>
            </w:r>
            <w:r>
              <w:rPr>
                <w:rFonts w:cs="Arial"/>
                <w:sz w:val="20"/>
              </w:rPr>
              <w:t>Half termly</w:t>
            </w:r>
          </w:p>
          <w:p w14:paraId="13F2AF02" w14:textId="4309C6F3" w:rsidR="000F78EE" w:rsidRDefault="000F78EE" w:rsidP="00CF7DD0">
            <w:pPr>
              <w:spacing w:after="0"/>
              <w:rPr>
                <w:rFonts w:cs="Arial"/>
                <w:sz w:val="20"/>
              </w:rPr>
            </w:pPr>
          </w:p>
          <w:p w14:paraId="69221E09" w14:textId="7744443F" w:rsidR="000F78EE" w:rsidRPr="00ED4B84" w:rsidRDefault="00E77F7E" w:rsidP="00CF7DD0">
            <w:pPr>
              <w:spacing w:after="0"/>
              <w:rPr>
                <w:rFonts w:cs="Arial"/>
                <w:i/>
                <w:color w:val="FF0000"/>
                <w:sz w:val="22"/>
              </w:rPr>
            </w:pPr>
            <w:r>
              <w:rPr>
                <w:rFonts w:cs="Arial"/>
                <w:sz w:val="20"/>
              </w:rPr>
              <w:t>6 week</w:t>
            </w:r>
            <w:r w:rsidR="000F78EE">
              <w:rPr>
                <w:rFonts w:cs="Arial"/>
                <w:sz w:val="20"/>
              </w:rPr>
              <w:t xml:space="preserve"> monitoring cycles in all subject areas to have a focus on disadvantaged pupils</w:t>
            </w:r>
            <w:r>
              <w:rPr>
                <w:rFonts w:cs="Arial"/>
                <w:sz w:val="20"/>
              </w:rPr>
              <w:t>’</w:t>
            </w:r>
            <w:r w:rsidR="000F78EE">
              <w:rPr>
                <w:rFonts w:cs="Arial"/>
                <w:sz w:val="20"/>
              </w:rPr>
              <w:t xml:space="preserve"> attainment and progress. </w:t>
            </w:r>
          </w:p>
          <w:p w14:paraId="6F5F85FE" w14:textId="5BDA9D91" w:rsidR="000F78EE" w:rsidRPr="00706942" w:rsidRDefault="000F78EE" w:rsidP="00CF7DD0">
            <w:pPr>
              <w:spacing w:after="0"/>
              <w:rPr>
                <w:rFonts w:cs="Arial"/>
                <w:i/>
                <w:color w:val="FF0000"/>
              </w:rPr>
            </w:pPr>
            <w:r>
              <w:rPr>
                <w:rFonts w:cs="Arial"/>
                <w:i/>
                <w:color w:val="FF0000"/>
                <w:sz w:val="22"/>
              </w:rPr>
              <w:t xml:space="preserve"> </w:t>
            </w:r>
          </w:p>
        </w:tc>
      </w:tr>
      <w:tr w:rsidR="00ED4B84" w:rsidRPr="00326C32" w14:paraId="60BAF613" w14:textId="77777777" w:rsidTr="000F78EE">
        <w:trPr>
          <w:gridAfter w:val="1"/>
          <w:wAfter w:w="119" w:type="dxa"/>
          <w:trHeight w:hRule="exact" w:val="765"/>
        </w:trPr>
        <w:tc>
          <w:tcPr>
            <w:tcW w:w="2235" w:type="dxa"/>
            <w:tcMar>
              <w:top w:w="57" w:type="dxa"/>
              <w:bottom w:w="57" w:type="dxa"/>
            </w:tcMar>
          </w:tcPr>
          <w:p w14:paraId="7238B6B6" w14:textId="30C4736C" w:rsidR="00ED4B84" w:rsidRPr="00326C32" w:rsidRDefault="00F62470" w:rsidP="005B137B">
            <w:pPr>
              <w:spacing w:after="0"/>
              <w:rPr>
                <w:rFonts w:cs="Arial"/>
                <w:b/>
              </w:rPr>
            </w:pPr>
            <w:r>
              <w:br w:type="page"/>
            </w:r>
            <w:r w:rsidR="00ED4B84" w:rsidRPr="00326C32">
              <w:rPr>
                <w:rFonts w:cs="Arial"/>
                <w:b/>
              </w:rPr>
              <w:t>Desired outcome</w:t>
            </w:r>
          </w:p>
        </w:tc>
        <w:tc>
          <w:tcPr>
            <w:tcW w:w="1588" w:type="dxa"/>
            <w:gridSpan w:val="3"/>
            <w:tcMar>
              <w:top w:w="57" w:type="dxa"/>
              <w:bottom w:w="57" w:type="dxa"/>
            </w:tcMar>
          </w:tcPr>
          <w:p w14:paraId="04C65AE2" w14:textId="77777777" w:rsidR="00ED4B84" w:rsidRPr="00326C32" w:rsidRDefault="00ED4B84" w:rsidP="005B137B">
            <w:pPr>
              <w:spacing w:after="0"/>
              <w:rPr>
                <w:rFonts w:cs="Arial"/>
                <w:b/>
              </w:rPr>
            </w:pPr>
            <w:r w:rsidRPr="00326C32">
              <w:rPr>
                <w:rFonts w:cs="Arial"/>
                <w:b/>
              </w:rPr>
              <w:t>Chosen action / approach</w:t>
            </w:r>
          </w:p>
        </w:tc>
        <w:tc>
          <w:tcPr>
            <w:tcW w:w="3543" w:type="dxa"/>
            <w:gridSpan w:val="2"/>
            <w:shd w:val="clear" w:color="auto" w:fill="auto"/>
            <w:tcMar>
              <w:top w:w="57" w:type="dxa"/>
              <w:bottom w:w="57" w:type="dxa"/>
            </w:tcMar>
          </w:tcPr>
          <w:p w14:paraId="48993FD5" w14:textId="77777777" w:rsidR="00ED4B84" w:rsidRPr="00326C32" w:rsidRDefault="00ED4B84" w:rsidP="005B137B">
            <w:pPr>
              <w:spacing w:after="0"/>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799" w:type="dxa"/>
            <w:shd w:val="clear" w:color="auto" w:fill="auto"/>
            <w:tcMar>
              <w:top w:w="57" w:type="dxa"/>
              <w:bottom w:w="57" w:type="dxa"/>
            </w:tcMar>
          </w:tcPr>
          <w:p w14:paraId="3A329CE8" w14:textId="77777777" w:rsidR="00ED4B84" w:rsidRPr="00326C32" w:rsidRDefault="00ED4B84" w:rsidP="005B137B">
            <w:pPr>
              <w:spacing w:after="0"/>
              <w:rPr>
                <w:rFonts w:cs="Arial"/>
                <w:b/>
              </w:rPr>
            </w:pPr>
            <w:r w:rsidRPr="00326C32">
              <w:rPr>
                <w:rFonts w:cs="Arial"/>
                <w:b/>
              </w:rPr>
              <w:t>How will you ensure it is implemented well?</w:t>
            </w:r>
          </w:p>
        </w:tc>
        <w:tc>
          <w:tcPr>
            <w:tcW w:w="1417" w:type="dxa"/>
            <w:gridSpan w:val="2"/>
            <w:shd w:val="clear" w:color="auto" w:fill="auto"/>
          </w:tcPr>
          <w:p w14:paraId="42BA318B" w14:textId="77777777" w:rsidR="00ED4B84" w:rsidRPr="00326C32" w:rsidRDefault="00ED4B84" w:rsidP="005B137B">
            <w:pPr>
              <w:spacing w:after="0"/>
              <w:rPr>
                <w:rFonts w:cs="Arial"/>
                <w:b/>
              </w:rPr>
            </w:pPr>
            <w:r w:rsidRPr="00326C32">
              <w:rPr>
                <w:rFonts w:cs="Arial"/>
                <w:b/>
              </w:rPr>
              <w:t>Staff lead</w:t>
            </w:r>
          </w:p>
        </w:tc>
        <w:tc>
          <w:tcPr>
            <w:tcW w:w="2835" w:type="dxa"/>
            <w:gridSpan w:val="2"/>
          </w:tcPr>
          <w:p w14:paraId="7C0B8359" w14:textId="77777777" w:rsidR="00ED4B84" w:rsidRPr="00326C32" w:rsidRDefault="00ED4B84" w:rsidP="005B137B">
            <w:pPr>
              <w:spacing w:after="0"/>
              <w:rPr>
                <w:rFonts w:cs="Arial"/>
                <w:b/>
              </w:rPr>
            </w:pPr>
            <w:r>
              <w:rPr>
                <w:rFonts w:cs="Arial"/>
                <w:b/>
              </w:rPr>
              <w:t>When will you review implementation?</w:t>
            </w:r>
          </w:p>
        </w:tc>
      </w:tr>
      <w:tr w:rsidR="00ED4B84" w:rsidRPr="00326C32" w14:paraId="0C9756A9" w14:textId="77777777" w:rsidTr="008D08A4">
        <w:trPr>
          <w:gridAfter w:val="1"/>
          <w:wAfter w:w="119" w:type="dxa"/>
          <w:trHeight w:hRule="exact" w:val="5465"/>
        </w:trPr>
        <w:tc>
          <w:tcPr>
            <w:tcW w:w="2235" w:type="dxa"/>
            <w:tcMar>
              <w:top w:w="57" w:type="dxa"/>
              <w:bottom w:w="57" w:type="dxa"/>
            </w:tcMar>
          </w:tcPr>
          <w:p w14:paraId="2F7C1BD9" w14:textId="4623F8C6" w:rsidR="00ED4B84" w:rsidRDefault="00ED4B84" w:rsidP="00AE3ADB">
            <w:pPr>
              <w:spacing w:after="0"/>
              <w:rPr>
                <w:rFonts w:cs="Arial"/>
                <w:sz w:val="20"/>
                <w:szCs w:val="20"/>
              </w:rPr>
            </w:pPr>
            <w:r w:rsidRPr="00E76A50">
              <w:rPr>
                <w:rFonts w:cs="Arial"/>
                <w:sz w:val="20"/>
                <w:szCs w:val="20"/>
              </w:rPr>
              <w:t xml:space="preserve">Internal and external data will show </w:t>
            </w:r>
            <w:r w:rsidR="00DB4358">
              <w:rPr>
                <w:rFonts w:cs="Arial"/>
                <w:sz w:val="20"/>
                <w:szCs w:val="20"/>
              </w:rPr>
              <w:t xml:space="preserve">that </w:t>
            </w:r>
            <w:r w:rsidR="00AE3ADB">
              <w:rPr>
                <w:rFonts w:cs="Arial"/>
                <w:sz w:val="20"/>
                <w:szCs w:val="20"/>
              </w:rPr>
              <w:t xml:space="preserve">proportion of pupils eligible for the Pupil </w:t>
            </w:r>
            <w:proofErr w:type="gramStart"/>
            <w:r w:rsidR="00AE3ADB">
              <w:rPr>
                <w:rFonts w:cs="Arial"/>
                <w:sz w:val="20"/>
                <w:szCs w:val="20"/>
              </w:rPr>
              <w:t xml:space="preserve">Premium </w:t>
            </w:r>
            <w:r>
              <w:rPr>
                <w:rFonts w:cs="Arial"/>
                <w:sz w:val="20"/>
                <w:szCs w:val="20"/>
              </w:rPr>
              <w:t xml:space="preserve"> with</w:t>
            </w:r>
            <w:proofErr w:type="gramEnd"/>
            <w:r>
              <w:rPr>
                <w:rFonts w:cs="Arial"/>
                <w:sz w:val="20"/>
                <w:szCs w:val="20"/>
              </w:rPr>
              <w:t xml:space="preserve"> an </w:t>
            </w:r>
            <w:r w:rsidRPr="00DB4358">
              <w:rPr>
                <w:rFonts w:cs="Arial"/>
                <w:sz w:val="20"/>
                <w:szCs w:val="20"/>
              </w:rPr>
              <w:t>Understanding at Greater Depth</w:t>
            </w:r>
            <w:r>
              <w:rPr>
                <w:rFonts w:cs="Arial"/>
                <w:sz w:val="20"/>
                <w:szCs w:val="20"/>
              </w:rPr>
              <w:t xml:space="preserve"> is increasing. </w:t>
            </w:r>
          </w:p>
        </w:tc>
        <w:tc>
          <w:tcPr>
            <w:tcW w:w="1588" w:type="dxa"/>
            <w:gridSpan w:val="3"/>
            <w:tcMar>
              <w:top w:w="57" w:type="dxa"/>
              <w:bottom w:w="57" w:type="dxa"/>
            </w:tcMar>
          </w:tcPr>
          <w:p w14:paraId="47451A1D" w14:textId="75BAD621" w:rsidR="00ED4B84" w:rsidRPr="00C173AC" w:rsidRDefault="000E2AF9" w:rsidP="000E2AF9">
            <w:pPr>
              <w:spacing w:after="0"/>
              <w:rPr>
                <w:rFonts w:cs="Arial"/>
                <w:sz w:val="22"/>
              </w:rPr>
            </w:pPr>
            <w:r w:rsidRPr="00714D08">
              <w:rPr>
                <w:rFonts w:cs="Arial"/>
                <w:sz w:val="20"/>
              </w:rPr>
              <w:t>Task design will enable all pupils to develop their u</w:t>
            </w:r>
            <w:r w:rsidR="00DB4358">
              <w:rPr>
                <w:rFonts w:cs="Arial"/>
                <w:sz w:val="20"/>
              </w:rPr>
              <w:t>nderstanding with greater depth across the curriculum.</w:t>
            </w:r>
          </w:p>
        </w:tc>
        <w:tc>
          <w:tcPr>
            <w:tcW w:w="3543" w:type="dxa"/>
            <w:gridSpan w:val="2"/>
            <w:tcMar>
              <w:top w:w="57" w:type="dxa"/>
              <w:bottom w:w="57" w:type="dxa"/>
            </w:tcMar>
          </w:tcPr>
          <w:p w14:paraId="03CAFA45" w14:textId="77777777" w:rsidR="00ED4B84" w:rsidRDefault="000E2AF9" w:rsidP="00B36500">
            <w:pPr>
              <w:spacing w:after="0"/>
              <w:rPr>
                <w:rFonts w:cs="Arial"/>
                <w:sz w:val="22"/>
              </w:rPr>
            </w:pPr>
            <w:r w:rsidRPr="00A44BFB">
              <w:rPr>
                <w:rFonts w:cs="Arial"/>
                <w:sz w:val="22"/>
              </w:rPr>
              <w:t xml:space="preserve">High expectations for all pupils is shown to raise standards in attainment and progress. </w:t>
            </w:r>
          </w:p>
          <w:p w14:paraId="61F80693" w14:textId="77777777" w:rsidR="00AD665F" w:rsidRDefault="00AD665F" w:rsidP="00B36500">
            <w:pPr>
              <w:spacing w:after="0"/>
              <w:rPr>
                <w:rFonts w:cs="Arial"/>
                <w:sz w:val="22"/>
              </w:rPr>
            </w:pPr>
          </w:p>
          <w:p w14:paraId="39D3A43A" w14:textId="250BB449" w:rsidR="00AD665F" w:rsidRDefault="00AD665F" w:rsidP="00B36500">
            <w:pPr>
              <w:spacing w:after="0"/>
              <w:rPr>
                <w:rFonts w:cs="Arial"/>
                <w:sz w:val="22"/>
              </w:rPr>
            </w:pPr>
            <w:r>
              <w:rPr>
                <w:rFonts w:cs="Arial"/>
                <w:sz w:val="22"/>
              </w:rPr>
              <w:t>Improved task design will enable all pupils to achieve a level of un</w:t>
            </w:r>
            <w:r w:rsidR="007E610B">
              <w:rPr>
                <w:rFonts w:cs="Arial"/>
                <w:sz w:val="22"/>
              </w:rPr>
              <w:t>derstanding with greater depth, linked t</w:t>
            </w:r>
            <w:r w:rsidR="00E77F7E">
              <w:rPr>
                <w:rFonts w:cs="Arial"/>
                <w:sz w:val="22"/>
              </w:rPr>
              <w:t>o AIP and whole school curriculum development.</w:t>
            </w:r>
          </w:p>
          <w:p w14:paraId="4D1025D1" w14:textId="3C616E15" w:rsidR="008D08A4" w:rsidRDefault="008D08A4" w:rsidP="00B36500">
            <w:pPr>
              <w:spacing w:after="0"/>
              <w:rPr>
                <w:rFonts w:cs="Arial"/>
                <w:sz w:val="22"/>
              </w:rPr>
            </w:pPr>
          </w:p>
          <w:p w14:paraId="00C8F639" w14:textId="66828C1A" w:rsidR="008D08A4" w:rsidRDefault="008D08A4" w:rsidP="00B36500">
            <w:pPr>
              <w:spacing w:after="0"/>
              <w:rPr>
                <w:rFonts w:cs="Arial"/>
                <w:sz w:val="22"/>
              </w:rPr>
            </w:pPr>
            <w:r>
              <w:rPr>
                <w:rFonts w:cs="Arial"/>
                <w:sz w:val="22"/>
              </w:rPr>
              <w:t xml:space="preserve">As the EEF explains in the fifth of the key principles, ‘Tackling disadvantage is not only about supporting low </w:t>
            </w:r>
            <w:proofErr w:type="spellStart"/>
            <w:r>
              <w:rPr>
                <w:rFonts w:cs="Arial"/>
                <w:sz w:val="22"/>
              </w:rPr>
              <w:t>attainers</w:t>
            </w:r>
            <w:proofErr w:type="spellEnd"/>
            <w:r>
              <w:rPr>
                <w:rFonts w:cs="Arial"/>
                <w:sz w:val="22"/>
              </w:rPr>
              <w:t>’.</w:t>
            </w:r>
          </w:p>
          <w:p w14:paraId="556A3DBD" w14:textId="77777777" w:rsidR="00AD665F" w:rsidRDefault="00AD665F" w:rsidP="00B36500">
            <w:pPr>
              <w:spacing w:after="0"/>
              <w:rPr>
                <w:rFonts w:cs="Arial"/>
                <w:sz w:val="22"/>
              </w:rPr>
            </w:pPr>
          </w:p>
          <w:p w14:paraId="4107B2E9" w14:textId="1EB940C2" w:rsidR="007D1467" w:rsidRDefault="007D1467" w:rsidP="00B36500">
            <w:pPr>
              <w:spacing w:after="0"/>
              <w:rPr>
                <w:rFonts w:cs="Arial"/>
              </w:rPr>
            </w:pPr>
          </w:p>
        </w:tc>
        <w:tc>
          <w:tcPr>
            <w:tcW w:w="3799" w:type="dxa"/>
            <w:shd w:val="clear" w:color="auto" w:fill="auto"/>
            <w:tcMar>
              <w:top w:w="57" w:type="dxa"/>
              <w:bottom w:w="57" w:type="dxa"/>
            </w:tcMar>
          </w:tcPr>
          <w:p w14:paraId="473FC8B5" w14:textId="40B14E62" w:rsidR="00ED4B84" w:rsidRPr="00A44BFB" w:rsidRDefault="000E2AF9" w:rsidP="000E2AF9">
            <w:pPr>
              <w:spacing w:after="0"/>
              <w:rPr>
                <w:rFonts w:cs="Arial"/>
                <w:sz w:val="20"/>
              </w:rPr>
            </w:pPr>
            <w:r w:rsidRPr="00A44BFB">
              <w:rPr>
                <w:rFonts w:cs="Arial"/>
                <w:sz w:val="20"/>
              </w:rPr>
              <w:t xml:space="preserve">Books will be analysed </w:t>
            </w:r>
            <w:r w:rsidR="00A44BFB">
              <w:rPr>
                <w:rFonts w:cs="Arial"/>
                <w:sz w:val="20"/>
              </w:rPr>
              <w:t>regularly</w:t>
            </w:r>
            <w:r w:rsidRPr="00A44BFB">
              <w:rPr>
                <w:rFonts w:cs="Arial"/>
                <w:sz w:val="20"/>
              </w:rPr>
              <w:t xml:space="preserve"> by </w:t>
            </w:r>
            <w:r w:rsidR="007E610B">
              <w:rPr>
                <w:rFonts w:cs="Arial"/>
                <w:sz w:val="20"/>
              </w:rPr>
              <w:t xml:space="preserve">SLT and area leaders </w:t>
            </w:r>
            <w:r w:rsidRPr="00A44BFB">
              <w:rPr>
                <w:rFonts w:cs="Arial"/>
                <w:sz w:val="20"/>
              </w:rPr>
              <w:t>to ensure high expectations</w:t>
            </w:r>
            <w:r w:rsidR="00A44BFB" w:rsidRPr="00A44BFB">
              <w:rPr>
                <w:rFonts w:cs="Arial"/>
                <w:sz w:val="20"/>
              </w:rPr>
              <w:t xml:space="preserve"> and quality task design</w:t>
            </w:r>
            <w:r w:rsidRPr="00A44BFB">
              <w:rPr>
                <w:rFonts w:cs="Arial"/>
                <w:sz w:val="20"/>
              </w:rPr>
              <w:t xml:space="preserve">. </w:t>
            </w:r>
          </w:p>
          <w:p w14:paraId="0561F5C1" w14:textId="77777777" w:rsidR="000E2AF9" w:rsidRPr="00A44BFB" w:rsidRDefault="000E2AF9" w:rsidP="000E2AF9">
            <w:pPr>
              <w:spacing w:after="0"/>
              <w:rPr>
                <w:rFonts w:cs="Arial"/>
                <w:sz w:val="20"/>
              </w:rPr>
            </w:pPr>
          </w:p>
          <w:p w14:paraId="2484FBEC" w14:textId="77777777" w:rsidR="00361441" w:rsidRDefault="00361441" w:rsidP="00A44BFB">
            <w:pPr>
              <w:spacing w:after="0"/>
              <w:rPr>
                <w:rFonts w:cs="Arial"/>
                <w:sz w:val="20"/>
              </w:rPr>
            </w:pPr>
          </w:p>
          <w:p w14:paraId="5F676F75" w14:textId="5D882709" w:rsidR="00361441" w:rsidRPr="000E2AF9" w:rsidRDefault="00361441" w:rsidP="00361441">
            <w:pPr>
              <w:spacing w:after="0"/>
              <w:rPr>
                <w:rFonts w:cs="Arial"/>
                <w:sz w:val="20"/>
              </w:rPr>
            </w:pPr>
            <w:r>
              <w:rPr>
                <w:rFonts w:cs="Arial"/>
                <w:sz w:val="20"/>
              </w:rPr>
              <w:t xml:space="preserve">The wider curriculum will be strengthened to enable all pupils to build their experience which has been shown to raise the quality of learning and engagement in education. </w:t>
            </w:r>
            <w:r w:rsidR="00E77F7E">
              <w:rPr>
                <w:rFonts w:cs="Arial"/>
                <w:sz w:val="20"/>
              </w:rPr>
              <w:t xml:space="preserve"> Progress in year groups across the curriculum is carefully planned for </w:t>
            </w:r>
          </w:p>
        </w:tc>
        <w:tc>
          <w:tcPr>
            <w:tcW w:w="1417" w:type="dxa"/>
            <w:gridSpan w:val="2"/>
            <w:shd w:val="clear" w:color="auto" w:fill="auto"/>
          </w:tcPr>
          <w:p w14:paraId="10336A57" w14:textId="77777777" w:rsidR="007E610B" w:rsidRDefault="007E610B" w:rsidP="00714D08">
            <w:pPr>
              <w:spacing w:after="0"/>
              <w:rPr>
                <w:rFonts w:cs="Arial"/>
                <w:sz w:val="18"/>
              </w:rPr>
            </w:pPr>
            <w:r>
              <w:rPr>
                <w:rFonts w:cs="Arial"/>
                <w:sz w:val="18"/>
              </w:rPr>
              <w:t xml:space="preserve">Vice Principal </w:t>
            </w:r>
          </w:p>
          <w:p w14:paraId="34B403A8" w14:textId="12A9463E" w:rsidR="00714D08" w:rsidRPr="00C16CE2" w:rsidRDefault="007E610B" w:rsidP="00714D08">
            <w:pPr>
              <w:spacing w:after="0"/>
              <w:rPr>
                <w:rFonts w:cs="Arial"/>
                <w:sz w:val="20"/>
              </w:rPr>
            </w:pPr>
            <w:r>
              <w:rPr>
                <w:rFonts w:cs="Arial"/>
                <w:sz w:val="18"/>
              </w:rPr>
              <w:t>SLT</w:t>
            </w:r>
            <w:r w:rsidR="00714D08">
              <w:rPr>
                <w:rFonts w:cs="Arial"/>
                <w:sz w:val="18"/>
              </w:rPr>
              <w:t xml:space="preserve"> </w:t>
            </w:r>
          </w:p>
          <w:p w14:paraId="432397EB" w14:textId="77777777" w:rsidR="00ED4B84" w:rsidRDefault="00ED4B84" w:rsidP="00B36500">
            <w:pPr>
              <w:spacing w:after="0"/>
              <w:rPr>
                <w:rFonts w:cs="Arial"/>
              </w:rPr>
            </w:pPr>
          </w:p>
          <w:p w14:paraId="1E2BBB0A" w14:textId="05C29BE5" w:rsidR="00714D08" w:rsidRDefault="00714D08" w:rsidP="00B36500">
            <w:pPr>
              <w:spacing w:after="0"/>
              <w:rPr>
                <w:rFonts w:cs="Arial"/>
              </w:rPr>
            </w:pPr>
          </w:p>
        </w:tc>
        <w:tc>
          <w:tcPr>
            <w:tcW w:w="2835" w:type="dxa"/>
            <w:gridSpan w:val="2"/>
          </w:tcPr>
          <w:p w14:paraId="674C218C" w14:textId="0806B9E8" w:rsidR="00ED4B84" w:rsidRDefault="000E2AF9" w:rsidP="00B36500">
            <w:pPr>
              <w:spacing w:after="0"/>
              <w:rPr>
                <w:rFonts w:cs="Arial"/>
                <w:sz w:val="20"/>
              </w:rPr>
            </w:pPr>
            <w:r w:rsidRPr="00F03512">
              <w:rPr>
                <w:rFonts w:cs="Arial"/>
                <w:sz w:val="20"/>
              </w:rPr>
              <w:t>Rolling cycle of book monitoring</w:t>
            </w:r>
            <w:r w:rsidR="00F03512">
              <w:rPr>
                <w:rFonts w:cs="Arial"/>
                <w:sz w:val="20"/>
              </w:rPr>
              <w:t xml:space="preserve"> with timely feedback to individual teachers that is followed up</w:t>
            </w:r>
            <w:r w:rsidRPr="00F03512">
              <w:rPr>
                <w:rFonts w:cs="Arial"/>
                <w:sz w:val="20"/>
              </w:rPr>
              <w:t>:</w:t>
            </w:r>
          </w:p>
          <w:p w14:paraId="0516A199" w14:textId="77777777" w:rsidR="00F03512" w:rsidRPr="00F03512" w:rsidRDefault="00F03512" w:rsidP="00B36500">
            <w:pPr>
              <w:spacing w:after="0"/>
              <w:rPr>
                <w:rFonts w:cs="Arial"/>
                <w:sz w:val="4"/>
              </w:rPr>
            </w:pPr>
          </w:p>
          <w:p w14:paraId="3E0DE84C" w14:textId="77777777" w:rsidR="007E610B" w:rsidRDefault="007E610B" w:rsidP="007E610B">
            <w:pPr>
              <w:spacing w:after="0"/>
              <w:rPr>
                <w:rFonts w:cs="Arial"/>
                <w:sz w:val="20"/>
              </w:rPr>
            </w:pPr>
            <w:r>
              <w:rPr>
                <w:rFonts w:cs="Arial"/>
                <w:sz w:val="20"/>
              </w:rPr>
              <w:t>Learning walks</w:t>
            </w:r>
          </w:p>
          <w:p w14:paraId="26A06C11" w14:textId="77777777" w:rsidR="007E610B" w:rsidRDefault="007E610B" w:rsidP="007E610B">
            <w:pPr>
              <w:spacing w:after="0"/>
              <w:rPr>
                <w:rFonts w:cs="Arial"/>
                <w:sz w:val="20"/>
              </w:rPr>
            </w:pPr>
            <w:r>
              <w:rPr>
                <w:rFonts w:cs="Arial"/>
                <w:sz w:val="20"/>
              </w:rPr>
              <w:t>Book looks</w:t>
            </w:r>
          </w:p>
          <w:p w14:paraId="10E624DC" w14:textId="77777777" w:rsidR="007E610B" w:rsidRDefault="007E610B" w:rsidP="007E610B">
            <w:pPr>
              <w:spacing w:after="0"/>
              <w:rPr>
                <w:rFonts w:cs="Arial"/>
                <w:sz w:val="20"/>
              </w:rPr>
            </w:pPr>
            <w:proofErr w:type="spellStart"/>
            <w:r>
              <w:rPr>
                <w:rFonts w:cs="Arial"/>
                <w:sz w:val="20"/>
              </w:rPr>
              <w:t>QoPs</w:t>
            </w:r>
            <w:proofErr w:type="spellEnd"/>
          </w:p>
          <w:p w14:paraId="57AADB15" w14:textId="79D6971A" w:rsidR="007E610B" w:rsidRDefault="007E610B" w:rsidP="007E610B">
            <w:pPr>
              <w:spacing w:after="0"/>
              <w:rPr>
                <w:rFonts w:cs="Arial"/>
                <w:sz w:val="20"/>
              </w:rPr>
            </w:pPr>
            <w:r>
              <w:rPr>
                <w:rFonts w:cs="Arial"/>
                <w:sz w:val="20"/>
              </w:rPr>
              <w:t>Learn</w:t>
            </w:r>
            <w:r w:rsidR="008D08A4">
              <w:rPr>
                <w:rFonts w:cs="Arial"/>
                <w:sz w:val="20"/>
              </w:rPr>
              <w:t xml:space="preserve">ing walk with JH (Director of Development </w:t>
            </w:r>
            <w:r>
              <w:rPr>
                <w:rFonts w:cs="Arial"/>
                <w:sz w:val="20"/>
              </w:rPr>
              <w:t>for ELT)</w:t>
            </w:r>
          </w:p>
          <w:p w14:paraId="30AFF589" w14:textId="77777777" w:rsidR="007E610B" w:rsidRDefault="007E610B" w:rsidP="007E610B">
            <w:pPr>
              <w:spacing w:after="0"/>
              <w:rPr>
                <w:rFonts w:cs="Arial"/>
                <w:sz w:val="20"/>
              </w:rPr>
            </w:pPr>
          </w:p>
          <w:p w14:paraId="0EB338D1" w14:textId="3289872B" w:rsidR="000E2AF9" w:rsidRPr="007E610B" w:rsidRDefault="007E610B" w:rsidP="007E610B">
            <w:pPr>
              <w:spacing w:after="0"/>
              <w:rPr>
                <w:rFonts w:cs="Arial"/>
                <w:sz w:val="20"/>
              </w:rPr>
            </w:pPr>
            <w:r>
              <w:rPr>
                <w:rFonts w:cs="Arial"/>
                <w:sz w:val="20"/>
              </w:rPr>
              <w:t>Termly Enquiry</w:t>
            </w:r>
            <w:r w:rsidR="000E2AF9">
              <w:rPr>
                <w:rFonts w:cs="Arial"/>
                <w:b/>
                <w:i/>
              </w:rPr>
              <w:t xml:space="preserve"> </w:t>
            </w:r>
          </w:p>
        </w:tc>
      </w:tr>
      <w:tr w:rsidR="00B36500" w:rsidRPr="00326C32" w14:paraId="06F5D9FC" w14:textId="77777777" w:rsidTr="00714D08">
        <w:trPr>
          <w:gridAfter w:val="1"/>
          <w:wAfter w:w="119" w:type="dxa"/>
          <w:trHeight w:hRule="exact" w:val="340"/>
        </w:trPr>
        <w:tc>
          <w:tcPr>
            <w:tcW w:w="12582" w:type="dxa"/>
            <w:gridSpan w:val="9"/>
            <w:tcMar>
              <w:top w:w="57" w:type="dxa"/>
              <w:bottom w:w="57" w:type="dxa"/>
            </w:tcMar>
          </w:tcPr>
          <w:p w14:paraId="7B9F6546" w14:textId="77777777" w:rsidR="00B36500" w:rsidRPr="00326C32" w:rsidRDefault="00B36500" w:rsidP="00B36500">
            <w:pPr>
              <w:spacing w:after="0"/>
              <w:jc w:val="right"/>
              <w:rPr>
                <w:rFonts w:cs="Arial"/>
              </w:rPr>
            </w:pPr>
            <w:r w:rsidRPr="00326C32">
              <w:rPr>
                <w:rFonts w:cs="Arial"/>
                <w:b/>
              </w:rPr>
              <w:t>Total budgeted cost</w:t>
            </w:r>
          </w:p>
        </w:tc>
        <w:tc>
          <w:tcPr>
            <w:tcW w:w="2835" w:type="dxa"/>
            <w:gridSpan w:val="2"/>
          </w:tcPr>
          <w:p w14:paraId="2CFD280A" w14:textId="3FDF4007" w:rsidR="00B36500" w:rsidRPr="00815430" w:rsidRDefault="007D1ED8" w:rsidP="00B36500">
            <w:pPr>
              <w:spacing w:after="0"/>
              <w:rPr>
                <w:rFonts w:cs="Arial"/>
                <w:b/>
              </w:rPr>
            </w:pPr>
            <w:r>
              <w:rPr>
                <w:rFonts w:cs="Arial"/>
                <w:b/>
              </w:rPr>
              <w:t>£55,000</w:t>
            </w:r>
          </w:p>
        </w:tc>
      </w:tr>
    </w:tbl>
    <w:p w14:paraId="71F16A45" w14:textId="77777777" w:rsidR="00F03512" w:rsidRDefault="00F03512">
      <w:r>
        <w:br w:type="page"/>
      </w:r>
    </w:p>
    <w:tbl>
      <w:tblPr>
        <w:tblStyle w:val="TableGrid"/>
        <w:tblW w:w="15417" w:type="dxa"/>
        <w:tblLayout w:type="fixed"/>
        <w:tblLook w:val="04A0" w:firstRow="1" w:lastRow="0" w:firstColumn="1" w:lastColumn="0" w:noHBand="0" w:noVBand="1"/>
      </w:tblPr>
      <w:tblGrid>
        <w:gridCol w:w="1980"/>
        <w:gridCol w:w="2268"/>
        <w:gridCol w:w="2410"/>
        <w:gridCol w:w="4507"/>
        <w:gridCol w:w="1417"/>
        <w:gridCol w:w="2835"/>
      </w:tblGrid>
      <w:tr w:rsidR="00B36500" w:rsidRPr="00F62470" w14:paraId="571E8CCF" w14:textId="77777777" w:rsidTr="00531CFD">
        <w:trPr>
          <w:trHeight w:hRule="exact" w:val="340"/>
        </w:trPr>
        <w:tc>
          <w:tcPr>
            <w:tcW w:w="15417" w:type="dxa"/>
            <w:gridSpan w:val="6"/>
            <w:tcMar>
              <w:top w:w="57" w:type="dxa"/>
              <w:bottom w:w="57" w:type="dxa"/>
            </w:tcMar>
          </w:tcPr>
          <w:p w14:paraId="20B83D90" w14:textId="00204B32" w:rsidR="00B36500" w:rsidRPr="00F62470" w:rsidRDefault="00B36500" w:rsidP="00B36500">
            <w:pPr>
              <w:pStyle w:val="ListParagraph"/>
              <w:numPr>
                <w:ilvl w:val="0"/>
                <w:numId w:val="26"/>
              </w:numPr>
              <w:spacing w:after="0" w:line="240" w:lineRule="auto"/>
              <w:ind w:left="426" w:hanging="142"/>
              <w:contextualSpacing w:val="0"/>
              <w:rPr>
                <w:rFonts w:cs="Arial"/>
                <w:b/>
                <w:sz w:val="22"/>
              </w:rPr>
            </w:pPr>
            <w:r w:rsidRPr="00F62470">
              <w:rPr>
                <w:rFonts w:cs="Arial"/>
                <w:b/>
                <w:sz w:val="22"/>
              </w:rPr>
              <w:t>Targeted support</w:t>
            </w:r>
          </w:p>
        </w:tc>
      </w:tr>
      <w:tr w:rsidR="00B36500" w:rsidRPr="00F62470" w14:paraId="4C246537" w14:textId="77777777" w:rsidTr="00CF7DD0">
        <w:trPr>
          <w:trHeight w:hRule="exact" w:val="534"/>
        </w:trPr>
        <w:tc>
          <w:tcPr>
            <w:tcW w:w="1980" w:type="dxa"/>
            <w:tcMar>
              <w:top w:w="57" w:type="dxa"/>
              <w:bottom w:w="57" w:type="dxa"/>
            </w:tcMar>
          </w:tcPr>
          <w:p w14:paraId="4A0CD6B0" w14:textId="77777777" w:rsidR="00B36500" w:rsidRPr="00F62470" w:rsidRDefault="00B36500" w:rsidP="00B36500">
            <w:pPr>
              <w:spacing w:after="0"/>
              <w:rPr>
                <w:rFonts w:cs="Arial"/>
                <w:b/>
                <w:sz w:val="18"/>
              </w:rPr>
            </w:pPr>
            <w:r w:rsidRPr="00F62470">
              <w:rPr>
                <w:rFonts w:cs="Arial"/>
                <w:b/>
                <w:sz w:val="18"/>
              </w:rPr>
              <w:t>Desired outcome</w:t>
            </w:r>
          </w:p>
        </w:tc>
        <w:tc>
          <w:tcPr>
            <w:tcW w:w="2268" w:type="dxa"/>
            <w:tcMar>
              <w:top w:w="57" w:type="dxa"/>
              <w:bottom w:w="57" w:type="dxa"/>
            </w:tcMar>
          </w:tcPr>
          <w:p w14:paraId="6994F095" w14:textId="77777777" w:rsidR="00B36500" w:rsidRPr="00F62470" w:rsidRDefault="00B36500" w:rsidP="00B36500">
            <w:pPr>
              <w:spacing w:after="0"/>
              <w:rPr>
                <w:rFonts w:cs="Arial"/>
                <w:b/>
                <w:sz w:val="18"/>
              </w:rPr>
            </w:pPr>
            <w:r w:rsidRPr="00F62470">
              <w:rPr>
                <w:rFonts w:cs="Arial"/>
                <w:b/>
                <w:sz w:val="18"/>
              </w:rPr>
              <w:t>Chosen action / approach</w:t>
            </w:r>
          </w:p>
        </w:tc>
        <w:tc>
          <w:tcPr>
            <w:tcW w:w="2410" w:type="dxa"/>
            <w:tcMar>
              <w:top w:w="57" w:type="dxa"/>
              <w:bottom w:w="57" w:type="dxa"/>
            </w:tcMar>
          </w:tcPr>
          <w:p w14:paraId="11DE6B62" w14:textId="5A6337B9" w:rsidR="00B36500" w:rsidRPr="00F62470" w:rsidRDefault="00B36500" w:rsidP="00B36500">
            <w:pPr>
              <w:spacing w:after="0"/>
              <w:rPr>
                <w:rFonts w:cs="Arial"/>
                <w:b/>
                <w:sz w:val="18"/>
              </w:rPr>
            </w:pPr>
            <w:r w:rsidRPr="00F62470">
              <w:rPr>
                <w:rFonts w:cs="Arial"/>
                <w:b/>
                <w:sz w:val="18"/>
              </w:rPr>
              <w:t>What is the evidence and rationale for this choice?</w:t>
            </w:r>
          </w:p>
        </w:tc>
        <w:tc>
          <w:tcPr>
            <w:tcW w:w="4507" w:type="dxa"/>
            <w:tcMar>
              <w:top w:w="57" w:type="dxa"/>
              <w:bottom w:w="57" w:type="dxa"/>
            </w:tcMar>
          </w:tcPr>
          <w:p w14:paraId="1CCA4D9E" w14:textId="77777777" w:rsidR="00B36500" w:rsidRPr="00F62470" w:rsidRDefault="00B36500" w:rsidP="00B36500">
            <w:pPr>
              <w:spacing w:after="0"/>
              <w:rPr>
                <w:rFonts w:cs="Arial"/>
                <w:b/>
                <w:sz w:val="18"/>
              </w:rPr>
            </w:pPr>
            <w:r w:rsidRPr="00F62470">
              <w:rPr>
                <w:rFonts w:cs="Arial"/>
                <w:b/>
                <w:sz w:val="18"/>
              </w:rPr>
              <w:t>How will you ensure it is implemented well?</w:t>
            </w:r>
          </w:p>
        </w:tc>
        <w:tc>
          <w:tcPr>
            <w:tcW w:w="1417" w:type="dxa"/>
          </w:tcPr>
          <w:p w14:paraId="18107706" w14:textId="77777777" w:rsidR="00B36500" w:rsidRPr="00F62470" w:rsidRDefault="00B36500" w:rsidP="00B36500">
            <w:pPr>
              <w:spacing w:after="0"/>
              <w:rPr>
                <w:rFonts w:cs="Arial"/>
                <w:b/>
                <w:sz w:val="18"/>
              </w:rPr>
            </w:pPr>
            <w:r w:rsidRPr="00F62470">
              <w:rPr>
                <w:rFonts w:cs="Arial"/>
                <w:b/>
                <w:sz w:val="18"/>
              </w:rPr>
              <w:t>Staff lead</w:t>
            </w:r>
          </w:p>
        </w:tc>
        <w:tc>
          <w:tcPr>
            <w:tcW w:w="2835" w:type="dxa"/>
          </w:tcPr>
          <w:p w14:paraId="4AB2E5BD" w14:textId="0036A2C0" w:rsidR="00B36500" w:rsidRPr="00F62470" w:rsidRDefault="00B36500" w:rsidP="00B36500">
            <w:pPr>
              <w:spacing w:after="0"/>
              <w:rPr>
                <w:rFonts w:cs="Arial"/>
                <w:b/>
                <w:sz w:val="18"/>
              </w:rPr>
            </w:pPr>
            <w:r w:rsidRPr="00F62470">
              <w:rPr>
                <w:rFonts w:cs="Arial"/>
                <w:b/>
                <w:sz w:val="18"/>
              </w:rPr>
              <w:t>When will you review implementation?</w:t>
            </w:r>
          </w:p>
        </w:tc>
      </w:tr>
      <w:tr w:rsidR="00586963" w:rsidRPr="00326C32" w14:paraId="75AB664D" w14:textId="77777777" w:rsidTr="004B04AD">
        <w:trPr>
          <w:trHeight w:hRule="exact" w:val="6878"/>
        </w:trPr>
        <w:tc>
          <w:tcPr>
            <w:tcW w:w="1980" w:type="dxa"/>
            <w:tcMar>
              <w:top w:w="57" w:type="dxa"/>
              <w:bottom w:w="57" w:type="dxa"/>
            </w:tcMar>
          </w:tcPr>
          <w:p w14:paraId="71D56D59" w14:textId="021FFA9B" w:rsidR="00586963" w:rsidRDefault="00790A1A" w:rsidP="00586963">
            <w:pPr>
              <w:spacing w:after="0"/>
              <w:rPr>
                <w:rFonts w:cs="Arial"/>
              </w:rPr>
            </w:pPr>
            <w:r>
              <w:rPr>
                <w:rFonts w:cs="Arial"/>
                <w:sz w:val="20"/>
              </w:rPr>
              <w:t xml:space="preserve">Children in receipt of the Pupil premium grant have good mental health throughout their time at Linden Road Academy.  External factors from outside of the Academy that affects the mental health and </w:t>
            </w:r>
            <w:proofErr w:type="spellStart"/>
            <w:r>
              <w:rPr>
                <w:rFonts w:cs="Arial"/>
                <w:sz w:val="20"/>
              </w:rPr>
              <w:t>well being</w:t>
            </w:r>
            <w:proofErr w:type="spellEnd"/>
            <w:r>
              <w:rPr>
                <w:rFonts w:cs="Arial"/>
                <w:sz w:val="20"/>
              </w:rPr>
              <w:t xml:space="preserve"> of this group of pupils (and all pupils) is mitigated  by a joined up approach between teaching staff, our pastoral lead, parents and </w:t>
            </w:r>
            <w:proofErr w:type="spellStart"/>
            <w:r>
              <w:rPr>
                <w:rFonts w:cs="Arial"/>
                <w:sz w:val="20"/>
              </w:rPr>
              <w:t>extrernal</w:t>
            </w:r>
            <w:proofErr w:type="spellEnd"/>
            <w:r>
              <w:rPr>
                <w:rFonts w:cs="Arial"/>
                <w:sz w:val="20"/>
              </w:rPr>
              <w:t xml:space="preserve"> professionals.</w:t>
            </w:r>
            <w:r w:rsidR="00586963" w:rsidRPr="00640F32">
              <w:rPr>
                <w:rFonts w:cs="Arial"/>
                <w:sz w:val="22"/>
              </w:rPr>
              <w:t xml:space="preserve"> </w:t>
            </w:r>
          </w:p>
        </w:tc>
        <w:tc>
          <w:tcPr>
            <w:tcW w:w="2268" w:type="dxa"/>
            <w:tcMar>
              <w:top w:w="57" w:type="dxa"/>
              <w:bottom w:w="57" w:type="dxa"/>
            </w:tcMar>
          </w:tcPr>
          <w:p w14:paraId="5CDD0259" w14:textId="396B48E6" w:rsidR="00640F32" w:rsidRPr="00790A1A" w:rsidRDefault="00195C08" w:rsidP="00790A1A">
            <w:pPr>
              <w:spacing w:after="0"/>
              <w:ind w:left="360"/>
              <w:rPr>
                <w:rFonts w:cs="Arial"/>
              </w:rPr>
            </w:pPr>
            <w:r>
              <w:rPr>
                <w:rFonts w:cs="Arial"/>
                <w:sz w:val="20"/>
              </w:rPr>
              <w:t>Part of the Pupil premium grant will be spent on the Pastoral lead’s salary and the cost of a professional counsellor to come into school to provide specific 1:1 and small group intervention.</w:t>
            </w:r>
          </w:p>
          <w:p w14:paraId="367693B2" w14:textId="77777777" w:rsidR="00361441" w:rsidRPr="00361441" w:rsidRDefault="00361441" w:rsidP="00361441">
            <w:pPr>
              <w:pStyle w:val="ListParagraph"/>
              <w:numPr>
                <w:ilvl w:val="0"/>
                <w:numId w:val="0"/>
              </w:numPr>
              <w:spacing w:after="0"/>
              <w:ind w:left="720"/>
              <w:rPr>
                <w:rFonts w:cs="Arial"/>
              </w:rPr>
            </w:pPr>
          </w:p>
          <w:p w14:paraId="23D0F41A" w14:textId="37DB7513" w:rsidR="00361441" w:rsidRPr="00790A1A" w:rsidRDefault="00361441" w:rsidP="00790A1A">
            <w:pPr>
              <w:spacing w:after="0"/>
              <w:ind w:left="360"/>
              <w:rPr>
                <w:rFonts w:cs="Arial"/>
              </w:rPr>
            </w:pPr>
          </w:p>
        </w:tc>
        <w:tc>
          <w:tcPr>
            <w:tcW w:w="2410" w:type="dxa"/>
            <w:tcMar>
              <w:top w:w="57" w:type="dxa"/>
              <w:bottom w:w="57" w:type="dxa"/>
            </w:tcMar>
          </w:tcPr>
          <w:p w14:paraId="7ED44C5C" w14:textId="70957078" w:rsidR="00586963" w:rsidRDefault="00D02AF3" w:rsidP="00B36500">
            <w:pPr>
              <w:spacing w:after="0"/>
              <w:rPr>
                <w:rFonts w:cs="Arial"/>
                <w:i/>
                <w:sz w:val="20"/>
              </w:rPr>
            </w:pPr>
            <w:r w:rsidRPr="008B4D6E">
              <w:rPr>
                <w:rFonts w:cs="Arial"/>
                <w:sz w:val="20"/>
              </w:rPr>
              <w:t>Research shows that half of all pupils will experience episodes of poor mental health before they reach adulthood. (CAMHs)</w:t>
            </w:r>
            <w:r w:rsidR="00A64BB4">
              <w:rPr>
                <w:rFonts w:cs="Arial"/>
                <w:i/>
                <w:sz w:val="20"/>
              </w:rPr>
              <w:t>.</w:t>
            </w:r>
          </w:p>
          <w:p w14:paraId="3008A162" w14:textId="4195FE6C" w:rsidR="00A64BB4" w:rsidRDefault="00A64BB4" w:rsidP="00B36500">
            <w:pPr>
              <w:spacing w:after="0"/>
              <w:rPr>
                <w:rFonts w:cs="Arial"/>
                <w:i/>
                <w:sz w:val="20"/>
              </w:rPr>
            </w:pPr>
          </w:p>
          <w:p w14:paraId="324E47BB" w14:textId="5A968290" w:rsidR="00A64BB4" w:rsidRDefault="00195C08" w:rsidP="00B36500">
            <w:pPr>
              <w:spacing w:after="0"/>
              <w:rPr>
                <w:rFonts w:cs="Arial"/>
                <w:sz w:val="20"/>
              </w:rPr>
            </w:pPr>
            <w:r>
              <w:rPr>
                <w:rFonts w:cs="Arial"/>
                <w:sz w:val="20"/>
              </w:rPr>
              <w:t>In school data from 2018/19</w:t>
            </w:r>
            <w:r w:rsidR="00CA67B4">
              <w:rPr>
                <w:rFonts w:cs="Arial"/>
                <w:sz w:val="20"/>
              </w:rPr>
              <w:t xml:space="preserve"> and 2019/20</w:t>
            </w:r>
            <w:r>
              <w:rPr>
                <w:rFonts w:cs="Arial"/>
                <w:sz w:val="20"/>
              </w:rPr>
              <w:t xml:space="preserve"> shows that the group of children that qualify for the Pupil premium grant </w:t>
            </w:r>
            <w:r w:rsidR="00CE4385">
              <w:rPr>
                <w:rFonts w:cs="Arial"/>
                <w:sz w:val="20"/>
              </w:rPr>
              <w:t>require disproportionately more support for their mental health, wellbeing and behaviour in school and home than their peers:</w:t>
            </w:r>
          </w:p>
          <w:p w14:paraId="006EA891" w14:textId="644F6B86" w:rsidR="00CE4385" w:rsidRPr="00A64BB4" w:rsidRDefault="00CE4385" w:rsidP="00B36500">
            <w:pPr>
              <w:spacing w:after="0"/>
              <w:rPr>
                <w:rFonts w:cs="Arial"/>
                <w:sz w:val="20"/>
              </w:rPr>
            </w:pPr>
            <w:r>
              <w:rPr>
                <w:rFonts w:cs="Arial"/>
                <w:sz w:val="20"/>
              </w:rPr>
              <w:t>41% compared to 18% of their peers.  In school data also shows that this group require proportionally more support in KS2 than in KS1.</w:t>
            </w:r>
          </w:p>
          <w:p w14:paraId="61D56724" w14:textId="77777777" w:rsidR="009C4C52" w:rsidRPr="008B4D6E" w:rsidRDefault="009C4C52" w:rsidP="00B36500">
            <w:pPr>
              <w:spacing w:after="0"/>
              <w:rPr>
                <w:rFonts w:cs="Arial"/>
                <w:i/>
                <w:sz w:val="20"/>
              </w:rPr>
            </w:pPr>
          </w:p>
          <w:p w14:paraId="223156B3" w14:textId="6AEEAFA6" w:rsidR="009C4C52" w:rsidRPr="008B4D6E" w:rsidRDefault="009C4C52" w:rsidP="008B4D6E">
            <w:pPr>
              <w:rPr>
                <w:rFonts w:cs="Arial"/>
                <w:i/>
                <w:sz w:val="18"/>
              </w:rPr>
            </w:pPr>
          </w:p>
        </w:tc>
        <w:tc>
          <w:tcPr>
            <w:tcW w:w="4507" w:type="dxa"/>
            <w:tcMar>
              <w:top w:w="57" w:type="dxa"/>
              <w:bottom w:w="57" w:type="dxa"/>
            </w:tcMar>
          </w:tcPr>
          <w:p w14:paraId="0211A887" w14:textId="77777777" w:rsidR="00640F32" w:rsidRPr="00640F32" w:rsidRDefault="00640F32" w:rsidP="00640F32">
            <w:pPr>
              <w:pStyle w:val="ListParagraph"/>
              <w:numPr>
                <w:ilvl w:val="0"/>
                <w:numId w:val="0"/>
              </w:numPr>
              <w:spacing w:after="0"/>
              <w:ind w:left="720"/>
              <w:rPr>
                <w:rFonts w:cs="Arial"/>
                <w:sz w:val="8"/>
              </w:rPr>
            </w:pPr>
          </w:p>
          <w:p w14:paraId="71791B34" w14:textId="77777777" w:rsidR="00640F32" w:rsidRPr="00640F32" w:rsidRDefault="00640F32" w:rsidP="00B36500">
            <w:pPr>
              <w:spacing w:after="0"/>
              <w:rPr>
                <w:rFonts w:cs="Arial"/>
                <w:sz w:val="4"/>
              </w:rPr>
            </w:pPr>
          </w:p>
          <w:p w14:paraId="2EECC19B" w14:textId="2B02AEDA" w:rsidR="00640F32" w:rsidRPr="001F0204" w:rsidRDefault="00D71250" w:rsidP="001F0204">
            <w:pPr>
              <w:spacing w:after="0"/>
              <w:ind w:left="360"/>
              <w:rPr>
                <w:rFonts w:cs="Arial"/>
                <w:sz w:val="20"/>
              </w:rPr>
            </w:pPr>
            <w:proofErr w:type="spellStart"/>
            <w:r w:rsidRPr="001F0204">
              <w:rPr>
                <w:rFonts w:cs="Arial"/>
                <w:sz w:val="20"/>
              </w:rPr>
              <w:t>QoP</w:t>
            </w:r>
            <w:proofErr w:type="spellEnd"/>
            <w:r w:rsidR="00640F32" w:rsidRPr="001F0204">
              <w:rPr>
                <w:rFonts w:cs="Arial"/>
                <w:sz w:val="20"/>
              </w:rPr>
              <w:t xml:space="preserve"> meeting agendas to include the opportunity for teachers to make </w:t>
            </w:r>
            <w:r w:rsidR="004B04AD" w:rsidRPr="001F0204">
              <w:rPr>
                <w:rFonts w:cs="Arial"/>
                <w:sz w:val="20"/>
              </w:rPr>
              <w:t xml:space="preserve">timely and accurate </w:t>
            </w:r>
            <w:r w:rsidRPr="001F0204">
              <w:rPr>
                <w:rFonts w:cs="Arial"/>
                <w:sz w:val="20"/>
              </w:rPr>
              <w:t>referrals</w:t>
            </w:r>
            <w:r w:rsidR="00640F32" w:rsidRPr="001F0204">
              <w:rPr>
                <w:rFonts w:cs="Arial"/>
                <w:sz w:val="20"/>
              </w:rPr>
              <w:t xml:space="preserve">. </w:t>
            </w:r>
            <w:r w:rsidR="004B04AD" w:rsidRPr="001F0204">
              <w:rPr>
                <w:rFonts w:cs="Arial"/>
                <w:sz w:val="20"/>
              </w:rPr>
              <w:t>(</w:t>
            </w:r>
            <w:r w:rsidR="00640F32" w:rsidRPr="001F0204">
              <w:rPr>
                <w:rFonts w:cs="Arial"/>
                <w:sz w:val="20"/>
              </w:rPr>
              <w:t xml:space="preserve">Clear systems in place </w:t>
            </w:r>
            <w:r w:rsidR="004B04AD" w:rsidRPr="001F0204">
              <w:rPr>
                <w:rFonts w:cs="Arial"/>
                <w:sz w:val="20"/>
              </w:rPr>
              <w:t xml:space="preserve">so that </w:t>
            </w:r>
            <w:r w:rsidR="00640F32" w:rsidRPr="001F0204">
              <w:rPr>
                <w:rFonts w:cs="Arial"/>
                <w:sz w:val="20"/>
              </w:rPr>
              <w:t>pup</w:t>
            </w:r>
            <w:r w:rsidR="005B137B" w:rsidRPr="001F0204">
              <w:rPr>
                <w:rFonts w:cs="Arial"/>
                <w:sz w:val="20"/>
              </w:rPr>
              <w:t xml:space="preserve">ils </w:t>
            </w:r>
            <w:r w:rsidR="004B04AD" w:rsidRPr="001F0204">
              <w:rPr>
                <w:rFonts w:cs="Arial"/>
                <w:sz w:val="20"/>
              </w:rPr>
              <w:t xml:space="preserve">can </w:t>
            </w:r>
            <w:r w:rsidR="005B137B" w:rsidRPr="001F0204">
              <w:rPr>
                <w:rFonts w:cs="Arial"/>
                <w:sz w:val="20"/>
              </w:rPr>
              <w:t>be re</w:t>
            </w:r>
            <w:r w:rsidR="004B04AD" w:rsidRPr="001F0204">
              <w:rPr>
                <w:rFonts w:cs="Arial"/>
                <w:sz w:val="20"/>
              </w:rPr>
              <w:t>ferred at any time for support if necessary)</w:t>
            </w:r>
          </w:p>
          <w:p w14:paraId="5E73ADF6" w14:textId="6F596DFD" w:rsidR="004B04AD" w:rsidRPr="003370AC" w:rsidRDefault="004B04AD" w:rsidP="003370AC">
            <w:pPr>
              <w:spacing w:after="0"/>
              <w:rPr>
                <w:rFonts w:cs="Arial"/>
              </w:rPr>
            </w:pPr>
          </w:p>
          <w:p w14:paraId="158D051B" w14:textId="0AD216E0" w:rsidR="00CE4385" w:rsidRPr="001F0204" w:rsidRDefault="004B04AD" w:rsidP="0000137C">
            <w:pPr>
              <w:spacing w:after="0"/>
              <w:ind w:left="360"/>
              <w:rPr>
                <w:rFonts w:cs="Arial"/>
                <w:sz w:val="20"/>
              </w:rPr>
            </w:pPr>
            <w:r w:rsidRPr="001F0204">
              <w:rPr>
                <w:rFonts w:cs="Arial"/>
                <w:sz w:val="20"/>
              </w:rPr>
              <w:t>T</w:t>
            </w:r>
            <w:r w:rsidR="003370AC" w:rsidRPr="001F0204">
              <w:rPr>
                <w:rFonts w:cs="Arial"/>
                <w:sz w:val="20"/>
              </w:rPr>
              <w:t>raining for key</w:t>
            </w:r>
            <w:r w:rsidRPr="001F0204">
              <w:rPr>
                <w:rFonts w:cs="Arial"/>
                <w:sz w:val="20"/>
              </w:rPr>
              <w:t xml:space="preserve"> staff on attachment </w:t>
            </w:r>
            <w:r w:rsidR="00CE4385" w:rsidRPr="001F0204">
              <w:rPr>
                <w:rFonts w:cs="Arial"/>
                <w:sz w:val="20"/>
              </w:rPr>
              <w:t>for children. Revision of</w:t>
            </w:r>
            <w:r w:rsidR="001F0204" w:rsidRPr="001F0204">
              <w:rPr>
                <w:rFonts w:cs="Arial"/>
                <w:sz w:val="20"/>
              </w:rPr>
              <w:t xml:space="preserve"> Linden Road’s</w:t>
            </w:r>
            <w:r w:rsidR="00CE4385" w:rsidRPr="001F0204">
              <w:rPr>
                <w:rFonts w:cs="Arial"/>
                <w:sz w:val="20"/>
              </w:rPr>
              <w:t xml:space="preserve"> </w:t>
            </w:r>
            <w:r w:rsidR="001F0204" w:rsidRPr="001F0204">
              <w:rPr>
                <w:rFonts w:cs="Arial"/>
                <w:sz w:val="20"/>
              </w:rPr>
              <w:t>B</w:t>
            </w:r>
            <w:r w:rsidR="00CE4385" w:rsidRPr="001F0204">
              <w:rPr>
                <w:rFonts w:cs="Arial"/>
                <w:sz w:val="20"/>
              </w:rPr>
              <w:t xml:space="preserve">ehaviour </w:t>
            </w:r>
            <w:r w:rsidR="001F0204" w:rsidRPr="001F0204">
              <w:rPr>
                <w:rFonts w:cs="Arial"/>
                <w:sz w:val="20"/>
              </w:rPr>
              <w:t>Policy</w:t>
            </w:r>
            <w:r w:rsidR="0000137C">
              <w:rPr>
                <w:rFonts w:cs="Arial"/>
                <w:sz w:val="20"/>
              </w:rPr>
              <w:t xml:space="preserve"> </w:t>
            </w:r>
            <w:r w:rsidR="001F0204" w:rsidRPr="001F0204">
              <w:rPr>
                <w:rFonts w:cs="Arial"/>
                <w:sz w:val="20"/>
              </w:rPr>
              <w:t>to account for new learning and approache</w:t>
            </w:r>
            <w:r w:rsidR="001F0204">
              <w:rPr>
                <w:rFonts w:cs="Arial"/>
                <w:sz w:val="20"/>
              </w:rPr>
              <w:t xml:space="preserve">s </w:t>
            </w:r>
            <w:r w:rsidR="001F0204" w:rsidRPr="001F0204">
              <w:rPr>
                <w:rFonts w:cs="Arial"/>
                <w:sz w:val="20"/>
              </w:rPr>
              <w:t>to attachment.</w:t>
            </w:r>
          </w:p>
          <w:p w14:paraId="59D7CEEB" w14:textId="576695C8" w:rsidR="001F0204" w:rsidRPr="00640F32" w:rsidRDefault="001F0204" w:rsidP="001F0204">
            <w:pPr>
              <w:pStyle w:val="ListParagraph"/>
              <w:numPr>
                <w:ilvl w:val="0"/>
                <w:numId w:val="0"/>
              </w:numPr>
              <w:spacing w:after="0"/>
              <w:ind w:left="720"/>
              <w:rPr>
                <w:rFonts w:cs="Arial"/>
              </w:rPr>
            </w:pPr>
          </w:p>
        </w:tc>
        <w:tc>
          <w:tcPr>
            <w:tcW w:w="1417" w:type="dxa"/>
          </w:tcPr>
          <w:p w14:paraId="5D12F895" w14:textId="4D809791" w:rsidR="00640F32" w:rsidRDefault="001F0204" w:rsidP="00B36500">
            <w:pPr>
              <w:spacing w:after="0"/>
              <w:rPr>
                <w:rFonts w:cs="Arial"/>
                <w:sz w:val="20"/>
              </w:rPr>
            </w:pPr>
            <w:r>
              <w:rPr>
                <w:rFonts w:cs="Arial"/>
                <w:sz w:val="20"/>
              </w:rPr>
              <w:t>Pastoral lead</w:t>
            </w:r>
          </w:p>
          <w:p w14:paraId="594373A2" w14:textId="09790E5D" w:rsidR="001F0204" w:rsidRDefault="001F0204" w:rsidP="00B36500">
            <w:pPr>
              <w:spacing w:after="0"/>
              <w:rPr>
                <w:rFonts w:cs="Arial"/>
                <w:sz w:val="20"/>
              </w:rPr>
            </w:pPr>
            <w:r>
              <w:rPr>
                <w:rFonts w:cs="Arial"/>
                <w:sz w:val="20"/>
              </w:rPr>
              <w:t>Principal</w:t>
            </w:r>
          </w:p>
          <w:p w14:paraId="0428B7D7" w14:textId="28490A6F" w:rsidR="001F0204" w:rsidRDefault="001F0204" w:rsidP="00B36500">
            <w:pPr>
              <w:spacing w:after="0"/>
              <w:rPr>
                <w:rFonts w:cs="Arial"/>
                <w:sz w:val="20"/>
              </w:rPr>
            </w:pPr>
            <w:r>
              <w:rPr>
                <w:rFonts w:cs="Arial"/>
                <w:sz w:val="20"/>
              </w:rPr>
              <w:t>Assistant Vice Principal</w:t>
            </w:r>
          </w:p>
          <w:p w14:paraId="15220211" w14:textId="24981C5B" w:rsidR="001F0204" w:rsidRDefault="001F0204" w:rsidP="00B36500">
            <w:pPr>
              <w:spacing w:after="0"/>
              <w:rPr>
                <w:rFonts w:cs="Arial"/>
                <w:sz w:val="20"/>
              </w:rPr>
            </w:pPr>
            <w:r>
              <w:rPr>
                <w:rFonts w:cs="Arial"/>
                <w:sz w:val="20"/>
              </w:rPr>
              <w:t>Vice Principal</w:t>
            </w:r>
          </w:p>
          <w:p w14:paraId="7A848F58" w14:textId="4F94C1BF" w:rsidR="001F0204" w:rsidRDefault="001F0204" w:rsidP="00B36500">
            <w:pPr>
              <w:spacing w:after="0"/>
              <w:rPr>
                <w:rFonts w:cs="Arial"/>
                <w:sz w:val="20"/>
              </w:rPr>
            </w:pPr>
            <w:proofErr w:type="spellStart"/>
            <w:r>
              <w:rPr>
                <w:rFonts w:cs="Arial"/>
                <w:sz w:val="20"/>
              </w:rPr>
              <w:t>SENDco</w:t>
            </w:r>
            <w:proofErr w:type="spellEnd"/>
          </w:p>
          <w:p w14:paraId="4729E88F" w14:textId="298E8F0F" w:rsidR="001F0204" w:rsidRDefault="001F0204" w:rsidP="00B36500">
            <w:pPr>
              <w:spacing w:after="0"/>
              <w:rPr>
                <w:rFonts w:cs="Arial"/>
              </w:rPr>
            </w:pPr>
          </w:p>
        </w:tc>
        <w:tc>
          <w:tcPr>
            <w:tcW w:w="2835" w:type="dxa"/>
          </w:tcPr>
          <w:p w14:paraId="3B3273C9" w14:textId="52D0B4C3" w:rsidR="001F0204" w:rsidRPr="005B137B" w:rsidRDefault="00640F32" w:rsidP="001F0204">
            <w:pPr>
              <w:spacing w:after="0"/>
              <w:rPr>
                <w:rFonts w:cs="Arial"/>
                <w:sz w:val="20"/>
              </w:rPr>
            </w:pPr>
            <w:r w:rsidRPr="00640F32">
              <w:rPr>
                <w:rFonts w:cs="Arial"/>
                <w:sz w:val="20"/>
              </w:rPr>
              <w:t xml:space="preserve">Half Termly monitoring by </w:t>
            </w:r>
            <w:proofErr w:type="spellStart"/>
            <w:r w:rsidRPr="00640F32">
              <w:rPr>
                <w:rFonts w:cs="Arial"/>
                <w:sz w:val="20"/>
              </w:rPr>
              <w:t>SENDco</w:t>
            </w:r>
            <w:proofErr w:type="spellEnd"/>
            <w:r w:rsidRPr="00640F32">
              <w:rPr>
                <w:rFonts w:cs="Arial"/>
                <w:sz w:val="20"/>
              </w:rPr>
              <w:t xml:space="preserve"> </w:t>
            </w:r>
            <w:r w:rsidR="001F0204">
              <w:rPr>
                <w:rFonts w:cs="Arial"/>
                <w:sz w:val="20"/>
              </w:rPr>
              <w:t>and Pastoral lead</w:t>
            </w:r>
            <w:r w:rsidR="005B137B">
              <w:rPr>
                <w:rFonts w:cs="Arial"/>
                <w:sz w:val="20"/>
              </w:rPr>
              <w:t xml:space="preserve"> </w:t>
            </w:r>
            <w:r w:rsidR="001F0204">
              <w:rPr>
                <w:rFonts w:cs="Arial"/>
                <w:sz w:val="20"/>
              </w:rPr>
              <w:t>and analysis of incidents, referrals and work done internally by the Pastoral lead.  6 weekly Quality of Provision meetings will monitor the learning and progress of this group of pupils as well discuss outcomes of pastoral and wellbeing support.</w:t>
            </w:r>
            <w:r w:rsidRPr="00640F32">
              <w:rPr>
                <w:rFonts w:cs="Arial"/>
                <w:sz w:val="20"/>
              </w:rPr>
              <w:t xml:space="preserve"> </w:t>
            </w:r>
          </w:p>
          <w:p w14:paraId="2DCB91F6" w14:textId="5D0EE972" w:rsidR="00586963" w:rsidRPr="005B137B" w:rsidRDefault="00586963" w:rsidP="005B137B">
            <w:pPr>
              <w:spacing w:after="0"/>
              <w:rPr>
                <w:rFonts w:cs="Arial"/>
                <w:sz w:val="20"/>
              </w:rPr>
            </w:pPr>
          </w:p>
        </w:tc>
      </w:tr>
      <w:tr w:rsidR="00B36500" w:rsidRPr="00326C32" w14:paraId="1C3870F3" w14:textId="77777777" w:rsidTr="004B04AD">
        <w:trPr>
          <w:trHeight w:hRule="exact" w:val="656"/>
        </w:trPr>
        <w:tc>
          <w:tcPr>
            <w:tcW w:w="12582" w:type="dxa"/>
            <w:gridSpan w:val="5"/>
            <w:tcMar>
              <w:top w:w="57" w:type="dxa"/>
              <w:bottom w:w="57" w:type="dxa"/>
            </w:tcMar>
          </w:tcPr>
          <w:p w14:paraId="795A0687" w14:textId="77777777" w:rsidR="00B36500" w:rsidRPr="00326C32" w:rsidRDefault="00B36500" w:rsidP="00B36500">
            <w:pPr>
              <w:spacing w:after="0"/>
              <w:jc w:val="right"/>
              <w:rPr>
                <w:rFonts w:cs="Arial"/>
              </w:rPr>
            </w:pPr>
            <w:r w:rsidRPr="00326C32">
              <w:rPr>
                <w:rFonts w:cs="Arial"/>
                <w:b/>
              </w:rPr>
              <w:t>Total budgeted cost</w:t>
            </w:r>
          </w:p>
        </w:tc>
        <w:tc>
          <w:tcPr>
            <w:tcW w:w="2835" w:type="dxa"/>
          </w:tcPr>
          <w:p w14:paraId="0DB963DB" w14:textId="14A08AF8" w:rsidR="00B36500" w:rsidRPr="00815430" w:rsidRDefault="007D1ED8" w:rsidP="00B36500">
            <w:pPr>
              <w:spacing w:after="0"/>
              <w:rPr>
                <w:rFonts w:cs="Arial"/>
                <w:b/>
              </w:rPr>
            </w:pPr>
            <w:r>
              <w:rPr>
                <w:rFonts w:cs="Arial"/>
                <w:b/>
              </w:rPr>
              <w:t>£</w:t>
            </w:r>
            <w:r w:rsidR="00DC692D">
              <w:rPr>
                <w:rFonts w:cs="Arial"/>
                <w:b/>
              </w:rPr>
              <w:t>25,000</w:t>
            </w:r>
          </w:p>
        </w:tc>
      </w:tr>
    </w:tbl>
    <w:p w14:paraId="004065AF" w14:textId="662C65F4" w:rsidR="005B137B" w:rsidRDefault="005B137B">
      <w:r>
        <w:br w:type="page"/>
      </w:r>
    </w:p>
    <w:p w14:paraId="50503029" w14:textId="77777777" w:rsidR="00CC10EF" w:rsidRDefault="00CC10EF"/>
    <w:p w14:paraId="66A1DE8A" w14:textId="5DB9C291" w:rsidR="00CC10EF" w:rsidRDefault="00CC10EF"/>
    <w:p w14:paraId="3A6A1389" w14:textId="77777777" w:rsidR="00C6010C" w:rsidRDefault="00C6010C"/>
    <w:tbl>
      <w:tblPr>
        <w:tblStyle w:val="TableGrid"/>
        <w:tblW w:w="15417" w:type="dxa"/>
        <w:tblLayout w:type="fixed"/>
        <w:tblLook w:val="04A0" w:firstRow="1" w:lastRow="0" w:firstColumn="1" w:lastColumn="0" w:noHBand="0" w:noVBand="1"/>
      </w:tblPr>
      <w:tblGrid>
        <w:gridCol w:w="1980"/>
        <w:gridCol w:w="2268"/>
        <w:gridCol w:w="2410"/>
        <w:gridCol w:w="4507"/>
        <w:gridCol w:w="1417"/>
        <w:gridCol w:w="2835"/>
      </w:tblGrid>
      <w:tr w:rsidR="00B36500" w:rsidRPr="00326C32" w14:paraId="28C25D20" w14:textId="77777777" w:rsidTr="00531CFD">
        <w:trPr>
          <w:trHeight w:hRule="exact" w:val="340"/>
        </w:trPr>
        <w:tc>
          <w:tcPr>
            <w:tcW w:w="15417" w:type="dxa"/>
            <w:gridSpan w:val="6"/>
            <w:tcMar>
              <w:top w:w="57" w:type="dxa"/>
              <w:bottom w:w="57" w:type="dxa"/>
            </w:tcMar>
          </w:tcPr>
          <w:p w14:paraId="3C51CA15" w14:textId="5802D8B4" w:rsidR="00B36500" w:rsidRPr="00326C32" w:rsidRDefault="00B36500" w:rsidP="00B36500">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B36500" w:rsidRPr="00F62470" w14:paraId="2701A71E" w14:textId="77777777" w:rsidTr="00CF7DD0">
        <w:trPr>
          <w:trHeight w:hRule="exact" w:val="689"/>
        </w:trPr>
        <w:tc>
          <w:tcPr>
            <w:tcW w:w="1980" w:type="dxa"/>
            <w:tcMar>
              <w:top w:w="57" w:type="dxa"/>
              <w:bottom w:w="57" w:type="dxa"/>
            </w:tcMar>
          </w:tcPr>
          <w:p w14:paraId="437B51C4" w14:textId="77777777" w:rsidR="00B36500" w:rsidRPr="00F62470" w:rsidRDefault="00B36500" w:rsidP="00B36500">
            <w:pPr>
              <w:spacing w:after="0"/>
              <w:rPr>
                <w:rFonts w:cs="Arial"/>
                <w:b/>
                <w:sz w:val="20"/>
              </w:rPr>
            </w:pPr>
            <w:r w:rsidRPr="00F62470">
              <w:rPr>
                <w:rFonts w:cs="Arial"/>
                <w:b/>
                <w:sz w:val="20"/>
              </w:rPr>
              <w:t>Desired outcome</w:t>
            </w:r>
          </w:p>
        </w:tc>
        <w:tc>
          <w:tcPr>
            <w:tcW w:w="2268" w:type="dxa"/>
            <w:tcMar>
              <w:top w:w="57" w:type="dxa"/>
              <w:bottom w:w="57" w:type="dxa"/>
            </w:tcMar>
          </w:tcPr>
          <w:p w14:paraId="6CFCAE6F" w14:textId="77777777" w:rsidR="00B36500" w:rsidRPr="00F62470" w:rsidRDefault="00B36500" w:rsidP="00B36500">
            <w:pPr>
              <w:spacing w:after="0"/>
              <w:rPr>
                <w:rFonts w:cs="Arial"/>
                <w:b/>
                <w:sz w:val="20"/>
              </w:rPr>
            </w:pPr>
            <w:r w:rsidRPr="00F62470">
              <w:rPr>
                <w:rFonts w:cs="Arial"/>
                <w:b/>
                <w:sz w:val="20"/>
              </w:rPr>
              <w:t>Chosen action / approach</w:t>
            </w:r>
          </w:p>
        </w:tc>
        <w:tc>
          <w:tcPr>
            <w:tcW w:w="2410" w:type="dxa"/>
            <w:tcMar>
              <w:top w:w="57" w:type="dxa"/>
              <w:bottom w:w="57" w:type="dxa"/>
            </w:tcMar>
          </w:tcPr>
          <w:p w14:paraId="34BCB72F" w14:textId="5D8802CF" w:rsidR="00B36500" w:rsidRPr="00F62470" w:rsidRDefault="00B36500" w:rsidP="00B36500">
            <w:pPr>
              <w:spacing w:after="0"/>
              <w:rPr>
                <w:rFonts w:cs="Arial"/>
                <w:b/>
                <w:sz w:val="18"/>
              </w:rPr>
            </w:pPr>
            <w:r w:rsidRPr="00F62470">
              <w:rPr>
                <w:rFonts w:cs="Arial"/>
                <w:b/>
                <w:sz w:val="18"/>
              </w:rPr>
              <w:t>What is the evidence and rationale for this choice?</w:t>
            </w:r>
          </w:p>
        </w:tc>
        <w:tc>
          <w:tcPr>
            <w:tcW w:w="4507" w:type="dxa"/>
            <w:tcMar>
              <w:top w:w="57" w:type="dxa"/>
              <w:bottom w:w="57" w:type="dxa"/>
            </w:tcMar>
          </w:tcPr>
          <w:p w14:paraId="46CC5E6A" w14:textId="77777777" w:rsidR="00B36500" w:rsidRPr="00F62470" w:rsidRDefault="00B36500" w:rsidP="00B36500">
            <w:pPr>
              <w:spacing w:after="0"/>
              <w:rPr>
                <w:rFonts w:cs="Arial"/>
                <w:b/>
                <w:sz w:val="20"/>
              </w:rPr>
            </w:pPr>
            <w:r w:rsidRPr="00F62470">
              <w:rPr>
                <w:rFonts w:cs="Arial"/>
                <w:b/>
                <w:sz w:val="20"/>
              </w:rPr>
              <w:t>How will you ensure it is implemented well?</w:t>
            </w:r>
          </w:p>
        </w:tc>
        <w:tc>
          <w:tcPr>
            <w:tcW w:w="1417" w:type="dxa"/>
          </w:tcPr>
          <w:p w14:paraId="294EE845" w14:textId="77777777" w:rsidR="00B36500" w:rsidRPr="00F62470" w:rsidRDefault="00B36500" w:rsidP="00B36500">
            <w:pPr>
              <w:spacing w:after="0"/>
              <w:rPr>
                <w:rFonts w:cs="Arial"/>
                <w:b/>
                <w:sz w:val="20"/>
              </w:rPr>
            </w:pPr>
            <w:r w:rsidRPr="00F62470">
              <w:rPr>
                <w:rFonts w:cs="Arial"/>
                <w:b/>
                <w:sz w:val="20"/>
              </w:rPr>
              <w:t>Staff lead</w:t>
            </w:r>
          </w:p>
        </w:tc>
        <w:tc>
          <w:tcPr>
            <w:tcW w:w="2835" w:type="dxa"/>
          </w:tcPr>
          <w:p w14:paraId="533157C9" w14:textId="7FD52727" w:rsidR="00B36500" w:rsidRPr="00F62470" w:rsidRDefault="00B36500" w:rsidP="00B36500">
            <w:pPr>
              <w:spacing w:after="0"/>
              <w:rPr>
                <w:rFonts w:cs="Arial"/>
                <w:b/>
                <w:sz w:val="20"/>
              </w:rPr>
            </w:pPr>
            <w:r w:rsidRPr="00F62470">
              <w:rPr>
                <w:rFonts w:cs="Arial"/>
                <w:b/>
                <w:sz w:val="20"/>
              </w:rPr>
              <w:t>When will you review implementation?</w:t>
            </w:r>
          </w:p>
        </w:tc>
      </w:tr>
      <w:tr w:rsidR="00B36500" w:rsidRPr="00326C32" w14:paraId="11BB1BE5" w14:textId="77777777" w:rsidTr="0000137C">
        <w:trPr>
          <w:trHeight w:hRule="exact" w:val="6990"/>
        </w:trPr>
        <w:tc>
          <w:tcPr>
            <w:tcW w:w="1980" w:type="dxa"/>
            <w:tcMar>
              <w:top w:w="57" w:type="dxa"/>
              <w:bottom w:w="57" w:type="dxa"/>
            </w:tcMar>
          </w:tcPr>
          <w:p w14:paraId="73988B01" w14:textId="77777777" w:rsidR="00B36500" w:rsidRDefault="00CF7DD0" w:rsidP="00CF7DD0">
            <w:pPr>
              <w:spacing w:after="0"/>
              <w:rPr>
                <w:rFonts w:cs="Arial"/>
                <w:sz w:val="20"/>
              </w:rPr>
            </w:pPr>
            <w:r w:rsidRPr="00A04FEC">
              <w:rPr>
                <w:rFonts w:cs="Arial"/>
                <w:sz w:val="20"/>
              </w:rPr>
              <w:t>Overall PP attendance % will increase - close to national expectations and in line with non- disadvantaged pupils.</w:t>
            </w:r>
          </w:p>
          <w:p w14:paraId="586B03E3" w14:textId="77777777" w:rsidR="00880AC7" w:rsidRDefault="00880AC7" w:rsidP="00CF7DD0">
            <w:pPr>
              <w:spacing w:after="0"/>
              <w:rPr>
                <w:rFonts w:cs="Arial"/>
                <w:sz w:val="20"/>
              </w:rPr>
            </w:pPr>
          </w:p>
          <w:p w14:paraId="0574EF5C" w14:textId="6EBDA6E0" w:rsidR="00880AC7" w:rsidRPr="00326C32" w:rsidRDefault="00F94A08" w:rsidP="007E768E">
            <w:pPr>
              <w:spacing w:after="0"/>
              <w:rPr>
                <w:rFonts w:cs="Arial"/>
              </w:rPr>
            </w:pPr>
            <w:r>
              <w:rPr>
                <w:rFonts w:cs="Arial"/>
                <w:sz w:val="20"/>
              </w:rPr>
              <w:t xml:space="preserve">Proportion of </w:t>
            </w:r>
            <w:r w:rsidR="00880AC7">
              <w:rPr>
                <w:rFonts w:cs="Arial"/>
                <w:sz w:val="20"/>
              </w:rPr>
              <w:t xml:space="preserve"> persistent absenteeism </w:t>
            </w:r>
            <w:r>
              <w:rPr>
                <w:rFonts w:cs="Arial"/>
                <w:sz w:val="20"/>
              </w:rPr>
              <w:t>in this group of pupils continues to fall</w:t>
            </w:r>
            <w:r w:rsidR="007E768E">
              <w:rPr>
                <w:rFonts w:cs="Arial"/>
                <w:sz w:val="20"/>
              </w:rPr>
              <w:t xml:space="preserve"> from 20%to &lt;10% PA of those eligible for pupil premium grant</w:t>
            </w:r>
          </w:p>
        </w:tc>
        <w:tc>
          <w:tcPr>
            <w:tcW w:w="2268" w:type="dxa"/>
            <w:tcMar>
              <w:top w:w="57" w:type="dxa"/>
              <w:bottom w:w="57" w:type="dxa"/>
            </w:tcMar>
          </w:tcPr>
          <w:p w14:paraId="69E42EB7" w14:textId="77777777" w:rsidR="00B36500" w:rsidRPr="00F62470" w:rsidRDefault="00640F32" w:rsidP="00B36500">
            <w:pPr>
              <w:spacing w:after="0"/>
              <w:rPr>
                <w:rFonts w:cs="Arial"/>
                <w:sz w:val="20"/>
              </w:rPr>
            </w:pPr>
            <w:r w:rsidRPr="00F62470">
              <w:rPr>
                <w:rFonts w:cs="Arial"/>
                <w:sz w:val="20"/>
              </w:rPr>
              <w:t>Daily and weekly monitoring of attendance by Attendance Officer</w:t>
            </w:r>
            <w:r w:rsidR="00B36500" w:rsidRPr="00F62470">
              <w:rPr>
                <w:rFonts w:cs="Arial"/>
                <w:sz w:val="20"/>
              </w:rPr>
              <w:t>.</w:t>
            </w:r>
          </w:p>
          <w:p w14:paraId="545D999E" w14:textId="77777777" w:rsidR="00640F32" w:rsidRPr="00F62470" w:rsidRDefault="00640F32" w:rsidP="00B36500">
            <w:pPr>
              <w:spacing w:after="0"/>
              <w:rPr>
                <w:rFonts w:cs="Arial"/>
                <w:sz w:val="20"/>
              </w:rPr>
            </w:pPr>
          </w:p>
          <w:p w14:paraId="720F5E82" w14:textId="4D1BEA45" w:rsidR="00640F32" w:rsidRPr="00326C32" w:rsidRDefault="00F62470" w:rsidP="00B36500">
            <w:pPr>
              <w:spacing w:after="0"/>
              <w:rPr>
                <w:rFonts w:cs="Arial"/>
              </w:rPr>
            </w:pPr>
            <w:r w:rsidRPr="00F62470">
              <w:rPr>
                <w:rFonts w:cs="Arial"/>
                <w:sz w:val="20"/>
              </w:rPr>
              <w:t>Timely and tailored s</w:t>
            </w:r>
            <w:r w:rsidR="00640F32" w:rsidRPr="00F62470">
              <w:rPr>
                <w:rFonts w:cs="Arial"/>
                <w:sz w:val="20"/>
              </w:rPr>
              <w:t>upport for families who struggle with attendance or punctuality.</w:t>
            </w:r>
            <w:r w:rsidR="00640F32" w:rsidRPr="00F62470">
              <w:rPr>
                <w:rFonts w:cs="Arial"/>
                <w:sz w:val="22"/>
              </w:rPr>
              <w:t xml:space="preserve"> </w:t>
            </w:r>
          </w:p>
        </w:tc>
        <w:tc>
          <w:tcPr>
            <w:tcW w:w="2410" w:type="dxa"/>
            <w:tcMar>
              <w:top w:w="57" w:type="dxa"/>
              <w:bottom w:w="57" w:type="dxa"/>
            </w:tcMar>
          </w:tcPr>
          <w:p w14:paraId="50722537" w14:textId="682244DE" w:rsidR="00B36500" w:rsidRDefault="003D1997" w:rsidP="00640F32">
            <w:pPr>
              <w:spacing w:after="0"/>
              <w:rPr>
                <w:rFonts w:cs="Arial"/>
                <w:sz w:val="20"/>
              </w:rPr>
            </w:pPr>
            <w:r w:rsidRPr="003D1997">
              <w:rPr>
                <w:rFonts w:cs="Arial"/>
                <w:sz w:val="20"/>
              </w:rPr>
              <w:t>I</w:t>
            </w:r>
            <w:r w:rsidR="00640F32" w:rsidRPr="003D1997">
              <w:rPr>
                <w:rFonts w:cs="Arial"/>
                <w:sz w:val="20"/>
              </w:rPr>
              <w:t>ncreased at</w:t>
            </w:r>
            <w:r w:rsidR="008B4D6E">
              <w:rPr>
                <w:rFonts w:cs="Arial"/>
                <w:sz w:val="20"/>
              </w:rPr>
              <w:t xml:space="preserve">tendance = increased attainment and </w:t>
            </w:r>
            <w:r w:rsidR="006F3CEA" w:rsidRPr="003D1997">
              <w:rPr>
                <w:rFonts w:cs="Arial"/>
                <w:sz w:val="20"/>
              </w:rPr>
              <w:t>wellbeing</w:t>
            </w:r>
            <w:r w:rsidR="008B4D6E">
              <w:rPr>
                <w:rFonts w:cs="Arial"/>
                <w:sz w:val="20"/>
              </w:rPr>
              <w:t xml:space="preserve">. </w:t>
            </w:r>
          </w:p>
          <w:p w14:paraId="42677EA3" w14:textId="77777777" w:rsidR="008B4D6E" w:rsidRPr="008B4D6E" w:rsidRDefault="008B4D6E" w:rsidP="00640F32">
            <w:pPr>
              <w:spacing w:after="0"/>
              <w:rPr>
                <w:rFonts w:cs="Arial"/>
                <w:sz w:val="8"/>
              </w:rPr>
            </w:pPr>
          </w:p>
          <w:p w14:paraId="15089AF2" w14:textId="77777777" w:rsidR="008B4D6E" w:rsidRDefault="008B4D6E" w:rsidP="00640F32">
            <w:pPr>
              <w:spacing w:after="0"/>
              <w:rPr>
                <w:rFonts w:cs="Arial"/>
                <w:sz w:val="20"/>
              </w:rPr>
            </w:pPr>
            <w:r>
              <w:rPr>
                <w:rFonts w:cs="Arial"/>
                <w:sz w:val="20"/>
              </w:rPr>
              <w:t xml:space="preserve">Attendance and punctuality are improving but more work needs to be done to meet the desired outcome. </w:t>
            </w:r>
          </w:p>
          <w:p w14:paraId="583C6EC5" w14:textId="77777777" w:rsidR="008B4D6E" w:rsidRPr="008B4D6E" w:rsidRDefault="008B4D6E" w:rsidP="00640F32">
            <w:pPr>
              <w:spacing w:after="0"/>
              <w:rPr>
                <w:rFonts w:cs="Arial"/>
                <w:sz w:val="6"/>
              </w:rPr>
            </w:pPr>
          </w:p>
          <w:p w14:paraId="3B04D412" w14:textId="2F528F59" w:rsidR="008B4D6E" w:rsidRPr="008B4D6E" w:rsidRDefault="008B4D6E" w:rsidP="008B4D6E">
            <w:pPr>
              <w:rPr>
                <w:rFonts w:cs="Arial"/>
                <w:sz w:val="20"/>
              </w:rPr>
            </w:pPr>
            <w:r w:rsidRPr="008B4D6E">
              <w:rPr>
                <w:rFonts w:cs="Arial"/>
                <w:sz w:val="20"/>
              </w:rPr>
              <w:t xml:space="preserve">Persistent absence for pupils </w:t>
            </w:r>
            <w:r w:rsidR="00FB7EC1">
              <w:rPr>
                <w:rFonts w:cs="Arial"/>
                <w:sz w:val="20"/>
              </w:rPr>
              <w:t xml:space="preserve">to </w:t>
            </w:r>
            <w:r w:rsidR="00F94A08">
              <w:rPr>
                <w:rFonts w:cs="Arial"/>
                <w:sz w:val="20"/>
              </w:rPr>
              <w:t xml:space="preserve">&lt; </w:t>
            </w:r>
            <w:r w:rsidR="00FB7EC1">
              <w:rPr>
                <w:rFonts w:cs="Arial"/>
                <w:sz w:val="20"/>
              </w:rPr>
              <w:t>than nat. PPC attendance data.</w:t>
            </w:r>
          </w:p>
          <w:p w14:paraId="52A98302" w14:textId="03CFDC20" w:rsidR="008B4D6E" w:rsidRPr="008B4D6E" w:rsidRDefault="008B4D6E" w:rsidP="00640F32">
            <w:pPr>
              <w:spacing w:after="0"/>
            </w:pPr>
          </w:p>
        </w:tc>
        <w:tc>
          <w:tcPr>
            <w:tcW w:w="4507" w:type="dxa"/>
            <w:tcMar>
              <w:top w:w="57" w:type="dxa"/>
              <w:bottom w:w="57" w:type="dxa"/>
            </w:tcMar>
          </w:tcPr>
          <w:p w14:paraId="0F24ED75" w14:textId="1E990260" w:rsidR="00A04FEC" w:rsidRPr="0000137C" w:rsidRDefault="00A04FEC" w:rsidP="0000137C">
            <w:pPr>
              <w:spacing w:after="0"/>
              <w:ind w:left="360"/>
              <w:rPr>
                <w:rFonts w:cs="Arial"/>
                <w:sz w:val="20"/>
              </w:rPr>
            </w:pPr>
            <w:r w:rsidRPr="0000137C">
              <w:rPr>
                <w:rFonts w:cs="Arial"/>
                <w:sz w:val="20"/>
              </w:rPr>
              <w:t>Consiste</w:t>
            </w:r>
            <w:r w:rsidR="0000137C">
              <w:rPr>
                <w:rFonts w:cs="Arial"/>
                <w:sz w:val="20"/>
              </w:rPr>
              <w:t xml:space="preserve">nt application of the behaviour </w:t>
            </w:r>
            <w:r w:rsidRPr="0000137C">
              <w:rPr>
                <w:rFonts w:cs="Arial"/>
                <w:sz w:val="20"/>
              </w:rPr>
              <w:t xml:space="preserve">policy so that good relationships abide throughout the school, engaging vulnerable children more in their education. </w:t>
            </w:r>
          </w:p>
          <w:p w14:paraId="12C79D84" w14:textId="77777777" w:rsidR="00A04FEC" w:rsidRDefault="00A04FEC" w:rsidP="00A04FEC">
            <w:pPr>
              <w:pStyle w:val="ListParagraph"/>
              <w:numPr>
                <w:ilvl w:val="0"/>
                <w:numId w:val="0"/>
              </w:numPr>
              <w:spacing w:after="0"/>
              <w:ind w:left="720"/>
              <w:rPr>
                <w:rFonts w:cs="Arial"/>
                <w:sz w:val="20"/>
              </w:rPr>
            </w:pPr>
          </w:p>
          <w:p w14:paraId="3FCD9BFB" w14:textId="349D54B6" w:rsidR="00A04FEC" w:rsidRPr="0000137C" w:rsidRDefault="00A04FEC" w:rsidP="0000137C">
            <w:pPr>
              <w:spacing w:after="0"/>
              <w:ind w:left="360"/>
              <w:rPr>
                <w:rFonts w:cs="Arial"/>
                <w:sz w:val="20"/>
              </w:rPr>
            </w:pPr>
            <w:r w:rsidRPr="0000137C">
              <w:rPr>
                <w:rFonts w:cs="Arial"/>
                <w:sz w:val="20"/>
              </w:rPr>
              <w:t xml:space="preserve">Strengthening of the wider Curriculum to broaden the experience and confidence of all pupils, in particular those in receipt of the PPG, which is shown to positively impact on learning outcomes. </w:t>
            </w:r>
          </w:p>
          <w:p w14:paraId="7D8FDB54" w14:textId="77777777" w:rsidR="00A04FEC" w:rsidRDefault="00A04FEC" w:rsidP="00A04FEC">
            <w:pPr>
              <w:pStyle w:val="ListParagraph"/>
              <w:numPr>
                <w:ilvl w:val="0"/>
                <w:numId w:val="0"/>
              </w:numPr>
              <w:spacing w:after="0"/>
              <w:ind w:left="720"/>
              <w:rPr>
                <w:rFonts w:cs="Arial"/>
                <w:sz w:val="20"/>
              </w:rPr>
            </w:pPr>
          </w:p>
          <w:p w14:paraId="527D2171" w14:textId="7C922F13" w:rsidR="00F62470" w:rsidRPr="0000137C" w:rsidRDefault="00F62470" w:rsidP="0000137C">
            <w:pPr>
              <w:spacing w:after="0"/>
              <w:ind w:left="360"/>
              <w:rPr>
                <w:rFonts w:cs="Arial"/>
                <w:sz w:val="20"/>
              </w:rPr>
            </w:pPr>
            <w:r w:rsidRPr="0000137C">
              <w:rPr>
                <w:rFonts w:cs="Arial"/>
                <w:sz w:val="20"/>
              </w:rPr>
              <w:t xml:space="preserve">Daily monitoring and contact with parents to ensure good attendance by all pupils. </w:t>
            </w:r>
          </w:p>
          <w:p w14:paraId="6B9F797D" w14:textId="77777777" w:rsidR="00F62470" w:rsidRPr="00F62470" w:rsidRDefault="00F62470" w:rsidP="00F62470">
            <w:pPr>
              <w:pStyle w:val="ListParagraph"/>
              <w:numPr>
                <w:ilvl w:val="0"/>
                <w:numId w:val="0"/>
              </w:numPr>
              <w:spacing w:after="0"/>
              <w:ind w:left="720"/>
              <w:rPr>
                <w:rFonts w:cs="Arial"/>
                <w:sz w:val="20"/>
              </w:rPr>
            </w:pPr>
          </w:p>
          <w:p w14:paraId="189A4B44" w14:textId="77777777" w:rsidR="00B36500" w:rsidRPr="0000137C" w:rsidRDefault="00F62470" w:rsidP="0000137C">
            <w:pPr>
              <w:spacing w:after="0"/>
              <w:ind w:left="360"/>
              <w:rPr>
                <w:rFonts w:cs="Arial"/>
                <w:sz w:val="20"/>
              </w:rPr>
            </w:pPr>
            <w:r w:rsidRPr="0000137C">
              <w:rPr>
                <w:rFonts w:cs="Arial"/>
                <w:sz w:val="20"/>
              </w:rPr>
              <w:t xml:space="preserve">Weekly reports to Principal of attendance and punctuality. </w:t>
            </w:r>
          </w:p>
          <w:p w14:paraId="21858EC6" w14:textId="77777777" w:rsidR="00F62470" w:rsidRPr="00F62470" w:rsidRDefault="00F62470" w:rsidP="00F62470">
            <w:pPr>
              <w:pStyle w:val="ListParagraph"/>
              <w:numPr>
                <w:ilvl w:val="0"/>
                <w:numId w:val="0"/>
              </w:numPr>
              <w:ind w:left="720"/>
              <w:rPr>
                <w:rFonts w:cs="Arial"/>
                <w:sz w:val="20"/>
              </w:rPr>
            </w:pPr>
          </w:p>
          <w:p w14:paraId="4C13BF37" w14:textId="087E742E" w:rsidR="00A04FEC" w:rsidRPr="00A04FEC" w:rsidRDefault="00F62470" w:rsidP="0000137C">
            <w:pPr>
              <w:spacing w:after="0"/>
              <w:ind w:left="360"/>
              <w:rPr>
                <w:rFonts w:cs="Arial"/>
              </w:rPr>
            </w:pPr>
            <w:r w:rsidRPr="0000137C">
              <w:rPr>
                <w:rFonts w:cs="Arial"/>
                <w:sz w:val="20"/>
              </w:rPr>
              <w:t xml:space="preserve">Weekly awards for attendance and punctuality. </w:t>
            </w:r>
          </w:p>
        </w:tc>
        <w:tc>
          <w:tcPr>
            <w:tcW w:w="1417" w:type="dxa"/>
          </w:tcPr>
          <w:p w14:paraId="3EA14391" w14:textId="5C71C4B2" w:rsidR="00A04FEC" w:rsidRPr="004B04AD" w:rsidRDefault="006F3CEA" w:rsidP="00B36500">
            <w:pPr>
              <w:spacing w:after="0"/>
              <w:rPr>
                <w:rFonts w:cs="Arial"/>
                <w:sz w:val="22"/>
              </w:rPr>
            </w:pPr>
            <w:r>
              <w:rPr>
                <w:rFonts w:cs="Arial"/>
                <w:sz w:val="22"/>
              </w:rPr>
              <w:t>Pastoral</w:t>
            </w:r>
            <w:r w:rsidR="001F0204">
              <w:rPr>
                <w:rFonts w:cs="Arial"/>
                <w:sz w:val="22"/>
              </w:rPr>
              <w:t xml:space="preserve"> lead and Attendance officer.</w:t>
            </w:r>
          </w:p>
          <w:p w14:paraId="2577B623" w14:textId="77777777" w:rsidR="00A04FEC" w:rsidRDefault="00A04FEC" w:rsidP="00B36500">
            <w:pPr>
              <w:spacing w:after="0"/>
              <w:rPr>
                <w:rFonts w:cs="Arial"/>
              </w:rPr>
            </w:pPr>
          </w:p>
          <w:p w14:paraId="2C9B7281" w14:textId="48E572F3" w:rsidR="00A04FEC" w:rsidRPr="00326C32" w:rsidRDefault="00A04FEC" w:rsidP="00B36500">
            <w:pPr>
              <w:spacing w:after="0"/>
              <w:rPr>
                <w:rFonts w:cs="Arial"/>
              </w:rPr>
            </w:pPr>
          </w:p>
        </w:tc>
        <w:tc>
          <w:tcPr>
            <w:tcW w:w="2835" w:type="dxa"/>
          </w:tcPr>
          <w:p w14:paraId="23F61479" w14:textId="19A19B4B" w:rsidR="00F62470" w:rsidRPr="00F62470" w:rsidRDefault="00F62470" w:rsidP="00B36500">
            <w:pPr>
              <w:pStyle w:val="ListParagraph"/>
              <w:numPr>
                <w:ilvl w:val="0"/>
                <w:numId w:val="39"/>
              </w:numPr>
              <w:spacing w:after="0"/>
              <w:rPr>
                <w:rFonts w:cs="Arial"/>
                <w:sz w:val="20"/>
              </w:rPr>
            </w:pPr>
            <w:r w:rsidRPr="00F62470">
              <w:rPr>
                <w:rFonts w:cs="Arial"/>
                <w:sz w:val="20"/>
              </w:rPr>
              <w:t xml:space="preserve">Weekly Reports. </w:t>
            </w:r>
          </w:p>
          <w:p w14:paraId="67CF4C3C" w14:textId="77777777" w:rsidR="00F62470" w:rsidRPr="00F62470" w:rsidRDefault="00F62470" w:rsidP="00F62470">
            <w:pPr>
              <w:pStyle w:val="ListParagraph"/>
              <w:numPr>
                <w:ilvl w:val="0"/>
                <w:numId w:val="0"/>
              </w:numPr>
              <w:spacing w:after="0"/>
              <w:ind w:left="720"/>
              <w:rPr>
                <w:rFonts w:cs="Arial"/>
                <w:sz w:val="6"/>
              </w:rPr>
            </w:pPr>
          </w:p>
          <w:p w14:paraId="6CBDD215" w14:textId="77777777" w:rsidR="00F62470" w:rsidRPr="00F62470" w:rsidRDefault="00F62470" w:rsidP="00B36500">
            <w:pPr>
              <w:pStyle w:val="ListParagraph"/>
              <w:numPr>
                <w:ilvl w:val="0"/>
                <w:numId w:val="39"/>
              </w:numPr>
              <w:spacing w:after="0"/>
              <w:rPr>
                <w:rFonts w:cs="Arial"/>
                <w:sz w:val="20"/>
              </w:rPr>
            </w:pPr>
            <w:r w:rsidRPr="00F62470">
              <w:rPr>
                <w:rFonts w:cs="Arial"/>
                <w:sz w:val="20"/>
              </w:rPr>
              <w:t>Monthly attendance meetings with parents.</w:t>
            </w:r>
          </w:p>
          <w:p w14:paraId="05D31F6A" w14:textId="77777777" w:rsidR="00F62470" w:rsidRPr="00F62470" w:rsidRDefault="00F62470" w:rsidP="00F62470">
            <w:pPr>
              <w:pStyle w:val="ListParagraph"/>
              <w:numPr>
                <w:ilvl w:val="0"/>
                <w:numId w:val="0"/>
              </w:numPr>
              <w:ind w:left="720"/>
              <w:rPr>
                <w:rFonts w:cs="Arial"/>
                <w:sz w:val="6"/>
              </w:rPr>
            </w:pPr>
          </w:p>
          <w:p w14:paraId="62848A50" w14:textId="3B5365BB" w:rsidR="00B36500" w:rsidRPr="00F62470" w:rsidRDefault="00CA67B4" w:rsidP="00FB7EC1">
            <w:pPr>
              <w:pStyle w:val="ListParagraph"/>
              <w:numPr>
                <w:ilvl w:val="0"/>
                <w:numId w:val="39"/>
              </w:numPr>
              <w:spacing w:after="0"/>
              <w:rPr>
                <w:rFonts w:cs="Arial"/>
              </w:rPr>
            </w:pPr>
            <w:r>
              <w:rPr>
                <w:rFonts w:cs="Arial"/>
                <w:sz w:val="20"/>
              </w:rPr>
              <w:t>Attendance team meet every 3 weeks to review all children’s attendance including those eligible for PPG and EYPPG in FS1 and FS2 or siblings of those eligible for the PPG.</w:t>
            </w:r>
            <w:r w:rsidR="00F62470">
              <w:rPr>
                <w:rFonts w:cs="Arial"/>
                <w:sz w:val="20"/>
              </w:rPr>
              <w:t xml:space="preserve"> </w:t>
            </w:r>
          </w:p>
        </w:tc>
      </w:tr>
      <w:tr w:rsidR="006F3CEA" w:rsidRPr="00326C32" w14:paraId="235D01A7" w14:textId="77777777" w:rsidTr="00CA67B4">
        <w:trPr>
          <w:trHeight w:hRule="exact" w:val="3895"/>
        </w:trPr>
        <w:tc>
          <w:tcPr>
            <w:tcW w:w="1980" w:type="dxa"/>
            <w:tcMar>
              <w:top w:w="57" w:type="dxa"/>
              <w:bottom w:w="57" w:type="dxa"/>
            </w:tcMar>
          </w:tcPr>
          <w:p w14:paraId="4FD92504" w14:textId="1ABAFC21" w:rsidR="006F3CEA" w:rsidRPr="006F3CEA" w:rsidRDefault="006F3CEA" w:rsidP="006F3CEA">
            <w:pPr>
              <w:spacing w:after="0"/>
              <w:rPr>
                <w:rFonts w:cs="Arial"/>
                <w:sz w:val="20"/>
                <w:szCs w:val="20"/>
              </w:rPr>
            </w:pPr>
            <w:r w:rsidRPr="006F3CEA">
              <w:rPr>
                <w:rFonts w:cs="Arial"/>
                <w:sz w:val="20"/>
                <w:szCs w:val="20"/>
              </w:rPr>
              <w:t xml:space="preserve">Improve wellbeing of this group of children.  </w:t>
            </w:r>
          </w:p>
        </w:tc>
        <w:tc>
          <w:tcPr>
            <w:tcW w:w="2268" w:type="dxa"/>
            <w:tcMar>
              <w:top w:w="57" w:type="dxa"/>
              <w:bottom w:w="57" w:type="dxa"/>
            </w:tcMar>
          </w:tcPr>
          <w:p w14:paraId="586DFA8B" w14:textId="126746BF" w:rsidR="006F3CEA" w:rsidRPr="006F3CEA" w:rsidRDefault="006F3CEA" w:rsidP="006F3CEA">
            <w:pPr>
              <w:spacing w:after="0"/>
              <w:rPr>
                <w:rFonts w:cs="Arial"/>
                <w:sz w:val="20"/>
                <w:szCs w:val="20"/>
              </w:rPr>
            </w:pPr>
            <w:r w:rsidRPr="006F3CEA">
              <w:rPr>
                <w:rFonts w:cs="Arial"/>
                <w:sz w:val="20"/>
                <w:szCs w:val="20"/>
              </w:rPr>
              <w:t>Raise self-esteem by completing a week-long activity residential at Kingswood.  Funding used to reduce costs for families.</w:t>
            </w:r>
          </w:p>
        </w:tc>
        <w:tc>
          <w:tcPr>
            <w:tcW w:w="2410" w:type="dxa"/>
            <w:tcMar>
              <w:top w:w="57" w:type="dxa"/>
              <w:bottom w:w="57" w:type="dxa"/>
            </w:tcMar>
          </w:tcPr>
          <w:p w14:paraId="0E319C83" w14:textId="73690FFE" w:rsidR="006F3CEA" w:rsidRPr="003D1997" w:rsidRDefault="00CA67B4" w:rsidP="006F3CEA">
            <w:pPr>
              <w:spacing w:after="0"/>
              <w:rPr>
                <w:rFonts w:cs="Arial"/>
                <w:sz w:val="20"/>
              </w:rPr>
            </w:pPr>
            <w:r>
              <w:rPr>
                <w:rFonts w:cs="Arial"/>
                <w:sz w:val="20"/>
              </w:rPr>
              <w:t xml:space="preserve">Success from 2019/20 </w:t>
            </w:r>
            <w:r w:rsidR="006F3CEA">
              <w:rPr>
                <w:rFonts w:cs="Arial"/>
                <w:sz w:val="20"/>
              </w:rPr>
              <w:t xml:space="preserve">cohort in which raised </w:t>
            </w:r>
            <w:r w:rsidR="007D1ED8">
              <w:rPr>
                <w:rFonts w:cs="Arial"/>
                <w:sz w:val="20"/>
              </w:rPr>
              <w:t>self-esteem</w:t>
            </w:r>
            <w:r w:rsidR="006F3CEA">
              <w:rPr>
                <w:rFonts w:cs="Arial"/>
                <w:sz w:val="20"/>
              </w:rPr>
              <w:t xml:space="preserve"> and positive shared </w:t>
            </w:r>
            <w:r w:rsidR="007D1ED8">
              <w:rPr>
                <w:rFonts w:cs="Arial"/>
                <w:sz w:val="20"/>
              </w:rPr>
              <w:t>experiences</w:t>
            </w:r>
            <w:r w:rsidR="006F3CEA">
              <w:rPr>
                <w:rFonts w:cs="Arial"/>
                <w:sz w:val="20"/>
              </w:rPr>
              <w:t xml:space="preserve"> led to better team work and </w:t>
            </w:r>
            <w:r w:rsidR="007D1ED8">
              <w:rPr>
                <w:rFonts w:cs="Arial"/>
                <w:sz w:val="20"/>
              </w:rPr>
              <w:t>cooperation</w:t>
            </w:r>
            <w:r w:rsidR="006F3CEA">
              <w:rPr>
                <w:rFonts w:cs="Arial"/>
                <w:sz w:val="20"/>
              </w:rPr>
              <w:t xml:space="preserve"> for the cohort, reduced instances of negative behaviour use of time out and isolations.</w:t>
            </w:r>
            <w:r>
              <w:rPr>
                <w:rFonts w:cs="Arial"/>
                <w:sz w:val="20"/>
              </w:rPr>
              <w:t xml:space="preserve">  Significant reduction of FTE in this cohort following the wellbeing improvement.</w:t>
            </w:r>
          </w:p>
        </w:tc>
        <w:tc>
          <w:tcPr>
            <w:tcW w:w="4507" w:type="dxa"/>
            <w:tcMar>
              <w:top w:w="57" w:type="dxa"/>
              <w:bottom w:w="57" w:type="dxa"/>
            </w:tcMar>
          </w:tcPr>
          <w:p w14:paraId="204E044A" w14:textId="1D26BD7B" w:rsidR="006F3CEA" w:rsidRPr="0000137C" w:rsidRDefault="006F3CEA" w:rsidP="006F3CEA">
            <w:pPr>
              <w:spacing w:after="0"/>
              <w:ind w:left="360"/>
              <w:rPr>
                <w:rFonts w:cs="Arial"/>
                <w:sz w:val="20"/>
              </w:rPr>
            </w:pPr>
            <w:r>
              <w:rPr>
                <w:rFonts w:cs="Arial"/>
                <w:sz w:val="20"/>
              </w:rPr>
              <w:t xml:space="preserve">To see the continued pattern of reduced instances of negative behaviour, uses of Time out and </w:t>
            </w:r>
            <w:r w:rsidR="007D1ED8">
              <w:rPr>
                <w:rFonts w:cs="Arial"/>
                <w:sz w:val="20"/>
              </w:rPr>
              <w:t xml:space="preserve">isolation.  </w:t>
            </w:r>
          </w:p>
        </w:tc>
        <w:tc>
          <w:tcPr>
            <w:tcW w:w="1417" w:type="dxa"/>
          </w:tcPr>
          <w:p w14:paraId="6A95C0BC" w14:textId="0E8EE683" w:rsidR="006F3CEA" w:rsidRDefault="007D1ED8" w:rsidP="006F3CEA">
            <w:pPr>
              <w:spacing w:after="0"/>
              <w:rPr>
                <w:rFonts w:cs="Arial"/>
                <w:sz w:val="22"/>
              </w:rPr>
            </w:pPr>
            <w:r>
              <w:rPr>
                <w:rFonts w:cs="Arial"/>
                <w:sz w:val="22"/>
              </w:rPr>
              <w:t>Assistant Vice Principal</w:t>
            </w:r>
          </w:p>
          <w:p w14:paraId="1B2DE41E" w14:textId="77777777" w:rsidR="007D1ED8" w:rsidRDefault="007D1ED8" w:rsidP="006F3CEA">
            <w:pPr>
              <w:spacing w:after="0"/>
              <w:rPr>
                <w:rFonts w:cs="Arial"/>
                <w:sz w:val="22"/>
              </w:rPr>
            </w:pPr>
          </w:p>
          <w:p w14:paraId="6C075549" w14:textId="66F40A04" w:rsidR="007D1ED8" w:rsidRDefault="007D1ED8" w:rsidP="006F3CEA">
            <w:pPr>
              <w:spacing w:after="0"/>
              <w:rPr>
                <w:rFonts w:cs="Arial"/>
                <w:sz w:val="22"/>
              </w:rPr>
            </w:pPr>
            <w:r>
              <w:rPr>
                <w:rFonts w:cs="Arial"/>
                <w:sz w:val="22"/>
              </w:rPr>
              <w:t>Pastoral lead</w:t>
            </w:r>
          </w:p>
        </w:tc>
        <w:tc>
          <w:tcPr>
            <w:tcW w:w="2835" w:type="dxa"/>
          </w:tcPr>
          <w:p w14:paraId="0035027B" w14:textId="77777777" w:rsidR="007D1ED8" w:rsidRDefault="007D1ED8" w:rsidP="007D1ED8">
            <w:pPr>
              <w:spacing w:after="0"/>
              <w:rPr>
                <w:rFonts w:cs="Arial"/>
                <w:sz w:val="20"/>
              </w:rPr>
            </w:pPr>
            <w:r>
              <w:rPr>
                <w:rFonts w:cs="Arial"/>
                <w:sz w:val="20"/>
              </w:rPr>
              <w:t>Quality of provision</w:t>
            </w:r>
          </w:p>
          <w:p w14:paraId="705FB984" w14:textId="04599A6D" w:rsidR="006F3CEA" w:rsidRPr="007D1ED8" w:rsidRDefault="007D1ED8" w:rsidP="007D1ED8">
            <w:pPr>
              <w:spacing w:after="0"/>
              <w:rPr>
                <w:rFonts w:cs="Arial"/>
                <w:sz w:val="20"/>
              </w:rPr>
            </w:pPr>
            <w:proofErr w:type="gramStart"/>
            <w:r>
              <w:rPr>
                <w:rFonts w:cs="Arial"/>
                <w:sz w:val="20"/>
              </w:rPr>
              <w:t>meetings</w:t>
            </w:r>
            <w:proofErr w:type="gramEnd"/>
            <w:r>
              <w:rPr>
                <w:rFonts w:cs="Arial"/>
                <w:sz w:val="20"/>
              </w:rPr>
              <w:t xml:space="preserve"> (6 weekly) when reviewing the wellbeing needs of the Year 6 cohort 2019-20 with eligibility for the Pupil Premium Grant (currently 18/29 children.</w:t>
            </w:r>
          </w:p>
        </w:tc>
      </w:tr>
      <w:tr w:rsidR="006F3CEA" w:rsidRPr="00326C32" w14:paraId="096A0474" w14:textId="77777777" w:rsidTr="0000137C">
        <w:trPr>
          <w:trHeight w:hRule="exact" w:val="371"/>
        </w:trPr>
        <w:tc>
          <w:tcPr>
            <w:tcW w:w="12582" w:type="dxa"/>
            <w:gridSpan w:val="5"/>
            <w:tcMar>
              <w:top w:w="57" w:type="dxa"/>
              <w:bottom w:w="57" w:type="dxa"/>
            </w:tcMar>
          </w:tcPr>
          <w:p w14:paraId="496A694A" w14:textId="7E4E1C91" w:rsidR="006F3CEA" w:rsidRPr="00326C32" w:rsidRDefault="006F3CEA" w:rsidP="006F3CEA">
            <w:pPr>
              <w:jc w:val="right"/>
              <w:rPr>
                <w:rFonts w:cs="Arial"/>
                <w:b/>
              </w:rPr>
            </w:pPr>
            <w:r w:rsidRPr="00326C32">
              <w:rPr>
                <w:rFonts w:cs="Arial"/>
                <w:b/>
              </w:rPr>
              <w:t>Total budgeted cost</w:t>
            </w:r>
          </w:p>
        </w:tc>
        <w:tc>
          <w:tcPr>
            <w:tcW w:w="2835" w:type="dxa"/>
          </w:tcPr>
          <w:p w14:paraId="1256077D" w14:textId="265336F7" w:rsidR="006F3CEA" w:rsidRPr="00326C32" w:rsidRDefault="007D1ED8" w:rsidP="006F3CEA">
            <w:pPr>
              <w:rPr>
                <w:rFonts w:cs="Arial"/>
                <w:b/>
              </w:rPr>
            </w:pPr>
            <w:r>
              <w:rPr>
                <w:rFonts w:cs="Arial"/>
                <w:b/>
              </w:rPr>
              <w:t>£25,000</w:t>
            </w:r>
          </w:p>
        </w:tc>
      </w:tr>
    </w:tbl>
    <w:p w14:paraId="4C2739E0" w14:textId="77777777" w:rsidR="00CA708E" w:rsidRDefault="00CA708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4848"/>
        <w:gridCol w:w="1672"/>
      </w:tblGrid>
      <w:tr w:rsidR="00326C32" w:rsidRPr="00326C32" w14:paraId="3B99A1A0" w14:textId="77777777" w:rsidTr="003370AC">
        <w:trPr>
          <w:trHeight w:hRule="exact" w:val="340"/>
        </w:trPr>
        <w:tc>
          <w:tcPr>
            <w:tcW w:w="15417" w:type="dxa"/>
            <w:gridSpan w:val="5"/>
            <w:shd w:val="clear" w:color="auto" w:fill="92D050"/>
            <w:tcMar>
              <w:top w:w="57" w:type="dxa"/>
              <w:bottom w:w="57" w:type="dxa"/>
            </w:tcMar>
          </w:tcPr>
          <w:p w14:paraId="13ABA9B1" w14:textId="780B36C3" w:rsidR="00326C32" w:rsidRPr="00326C32" w:rsidRDefault="00A04FEC" w:rsidP="00AD1C4B">
            <w:pPr>
              <w:pStyle w:val="ListParagraph"/>
              <w:numPr>
                <w:ilvl w:val="0"/>
                <w:numId w:val="28"/>
              </w:numPr>
              <w:spacing w:after="0" w:line="240" w:lineRule="auto"/>
              <w:ind w:left="426" w:hanging="284"/>
              <w:contextualSpacing w:val="0"/>
              <w:rPr>
                <w:rFonts w:cs="Arial"/>
                <w:b/>
              </w:rPr>
            </w:pPr>
            <w:r>
              <w:rPr>
                <w:rFonts w:cs="Arial"/>
              </w:rPr>
              <w:br w:type="page"/>
            </w:r>
            <w:r w:rsidR="00326C32" w:rsidRPr="00326C32">
              <w:rPr>
                <w:rFonts w:cs="Arial"/>
                <w:b/>
              </w:rPr>
              <w:t xml:space="preserve">Review of expenditure </w:t>
            </w:r>
          </w:p>
        </w:tc>
      </w:tr>
      <w:tr w:rsidR="00326C32" w:rsidRPr="00326C32" w14:paraId="3391B531" w14:textId="77777777" w:rsidTr="00A25D48">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14:paraId="4397D9F7" w14:textId="77777777" w:rsidR="00326C32" w:rsidRPr="00326C32" w:rsidRDefault="00326C32" w:rsidP="00D04B89">
            <w:pPr>
              <w:pStyle w:val="ListParagraph"/>
              <w:numPr>
                <w:ilvl w:val="0"/>
                <w:numId w:val="0"/>
              </w:numPr>
              <w:ind w:left="567"/>
              <w:rPr>
                <w:rFonts w:cs="Arial"/>
                <w:b/>
              </w:rPr>
            </w:pPr>
          </w:p>
        </w:tc>
      </w:tr>
      <w:tr w:rsidR="00326C32" w:rsidRPr="00326C32" w14:paraId="0C9E05AF" w14:textId="77777777" w:rsidTr="00A25D48">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4C39C5">
        <w:trPr>
          <w:trHeight w:hRule="exact" w:val="1173"/>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4848"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6B7D5415" w:rsidR="00326C32" w:rsidRPr="00326C32" w:rsidRDefault="00326C32" w:rsidP="00D04B89">
            <w:pPr>
              <w:rPr>
                <w:rFonts w:cs="Arial"/>
                <w:b/>
              </w:rPr>
            </w:pPr>
            <w:r w:rsidRPr="00326C32">
              <w:rPr>
                <w:rFonts w:cs="Arial"/>
              </w:rPr>
              <w:t>(and whether you will continue with this approach)</w:t>
            </w:r>
          </w:p>
        </w:tc>
        <w:tc>
          <w:tcPr>
            <w:tcW w:w="1672" w:type="dxa"/>
          </w:tcPr>
          <w:p w14:paraId="75488CBF" w14:textId="1951239A" w:rsidR="00326C32" w:rsidRDefault="00326C32" w:rsidP="00D04B89">
            <w:pPr>
              <w:rPr>
                <w:rFonts w:cs="Arial"/>
                <w:b/>
              </w:rPr>
            </w:pPr>
            <w:r w:rsidRPr="00D417E2">
              <w:rPr>
                <w:rFonts w:cs="Arial"/>
                <w:b/>
              </w:rPr>
              <w:t>Cost</w:t>
            </w:r>
          </w:p>
          <w:p w14:paraId="62CCAD2B" w14:textId="1B364854" w:rsidR="004C39C5" w:rsidRPr="00326C32" w:rsidRDefault="004C39C5" w:rsidP="00D04B89">
            <w:pPr>
              <w:rPr>
                <w:rFonts w:cs="Arial"/>
                <w:b/>
              </w:rPr>
            </w:pPr>
          </w:p>
        </w:tc>
      </w:tr>
      <w:tr w:rsidR="00B04160" w:rsidRPr="00326C32" w14:paraId="32E4536A" w14:textId="77777777" w:rsidTr="006B1AFF">
        <w:trPr>
          <w:trHeight w:hRule="exact" w:val="1753"/>
        </w:trPr>
        <w:tc>
          <w:tcPr>
            <w:tcW w:w="2235" w:type="dxa"/>
            <w:tcMar>
              <w:top w:w="57" w:type="dxa"/>
              <w:bottom w:w="57" w:type="dxa"/>
            </w:tcMar>
          </w:tcPr>
          <w:p w14:paraId="7749D9F9" w14:textId="6A3F5C6A" w:rsidR="00B04160" w:rsidRPr="00326C32" w:rsidRDefault="00B04160" w:rsidP="00B04160">
            <w:pPr>
              <w:rPr>
                <w:rFonts w:cs="Arial"/>
                <w:b/>
              </w:rPr>
            </w:pPr>
            <w:r w:rsidRPr="00C22BD2">
              <w:rPr>
                <w:rFonts w:cs="Arial"/>
                <w:sz w:val="16"/>
                <w:szCs w:val="16"/>
              </w:rPr>
              <w:t xml:space="preserve">Raised standards for </w:t>
            </w:r>
            <w:r>
              <w:rPr>
                <w:rFonts w:cs="Arial"/>
                <w:sz w:val="16"/>
                <w:szCs w:val="16"/>
              </w:rPr>
              <w:t>all students eligible for Pupil premium funding.</w:t>
            </w:r>
          </w:p>
        </w:tc>
        <w:tc>
          <w:tcPr>
            <w:tcW w:w="1984" w:type="dxa"/>
            <w:tcMar>
              <w:top w:w="57" w:type="dxa"/>
              <w:bottom w:w="57" w:type="dxa"/>
            </w:tcMar>
          </w:tcPr>
          <w:p w14:paraId="673C0C2F" w14:textId="1BC942CD" w:rsidR="00B04160" w:rsidRPr="00326C32" w:rsidRDefault="00B04160" w:rsidP="00B04160">
            <w:pPr>
              <w:rPr>
                <w:rFonts w:cs="Arial"/>
                <w:b/>
              </w:rPr>
            </w:pPr>
            <w:r>
              <w:rPr>
                <w:rFonts w:cs="Arial"/>
                <w:sz w:val="16"/>
                <w:szCs w:val="16"/>
              </w:rPr>
              <w:t>0.5 TA in every class to support English and Maths</w:t>
            </w:r>
          </w:p>
        </w:tc>
        <w:tc>
          <w:tcPr>
            <w:tcW w:w="4678" w:type="dxa"/>
            <w:tcMar>
              <w:top w:w="57" w:type="dxa"/>
              <w:bottom w:w="57" w:type="dxa"/>
            </w:tcMar>
          </w:tcPr>
          <w:p w14:paraId="05AC421E" w14:textId="0C0E0A2F" w:rsidR="00B04160" w:rsidRPr="00326C32" w:rsidRDefault="00B04160" w:rsidP="00B04160">
            <w:pPr>
              <w:rPr>
                <w:rFonts w:cs="Arial"/>
                <w:b/>
              </w:rPr>
            </w:pPr>
            <w:r>
              <w:rPr>
                <w:rFonts w:cs="Arial"/>
                <w:sz w:val="16"/>
                <w:szCs w:val="16"/>
              </w:rPr>
              <w:t>TA provides space for the teacher to teach the students with</w:t>
            </w:r>
            <w:r w:rsidR="00047E75">
              <w:rPr>
                <w:rFonts w:cs="Arial"/>
                <w:sz w:val="16"/>
                <w:szCs w:val="16"/>
              </w:rPr>
              <w:t xml:space="preserve"> the most progress to make.  </w:t>
            </w:r>
          </w:p>
        </w:tc>
        <w:tc>
          <w:tcPr>
            <w:tcW w:w="4848" w:type="dxa"/>
            <w:tcMar>
              <w:top w:w="57" w:type="dxa"/>
              <w:bottom w:w="57" w:type="dxa"/>
            </w:tcMar>
          </w:tcPr>
          <w:p w14:paraId="023624EB" w14:textId="3B68CAC2" w:rsidR="00B04160" w:rsidRPr="002B7C78" w:rsidRDefault="00F94A08" w:rsidP="00B04160">
            <w:pPr>
              <w:spacing w:after="0"/>
              <w:rPr>
                <w:rFonts w:cs="Arial"/>
                <w:sz w:val="16"/>
                <w:szCs w:val="16"/>
              </w:rPr>
            </w:pPr>
            <w:r>
              <w:rPr>
                <w:rFonts w:cs="Arial"/>
                <w:sz w:val="16"/>
                <w:szCs w:val="16"/>
              </w:rPr>
              <w:t xml:space="preserve">Impact evident in some classes.  Attainment gap closed in KS1, and across KS2, although it wasn’t evident in Year 6.  Having reviewed the progress and attainment of </w:t>
            </w:r>
            <w:r w:rsidR="006B1AFF">
              <w:rPr>
                <w:rFonts w:cs="Arial"/>
                <w:sz w:val="16"/>
                <w:szCs w:val="16"/>
              </w:rPr>
              <w:t>the children eligible for Pupil Premium in Year 6 for 2018-19</w:t>
            </w:r>
            <w:r w:rsidR="00324F63">
              <w:rPr>
                <w:rFonts w:cs="Arial"/>
                <w:sz w:val="16"/>
                <w:szCs w:val="16"/>
              </w:rPr>
              <w:t xml:space="preserve"> and 2019-20</w:t>
            </w:r>
            <w:r w:rsidR="006B1AFF">
              <w:rPr>
                <w:rFonts w:cs="Arial"/>
                <w:sz w:val="16"/>
                <w:szCs w:val="16"/>
              </w:rPr>
              <w:t>, the Academy has made a change.  Focused additional teaching will be moved to Year 2 in the Autumn term</w:t>
            </w:r>
            <w:r w:rsidR="00324F63">
              <w:rPr>
                <w:rFonts w:cs="Arial"/>
                <w:sz w:val="16"/>
                <w:szCs w:val="16"/>
              </w:rPr>
              <w:t>, then Year 1 and FS2 througho</w:t>
            </w:r>
            <w:bookmarkStart w:id="0" w:name="_GoBack"/>
            <w:bookmarkEnd w:id="0"/>
            <w:r w:rsidR="006B1AFF">
              <w:rPr>
                <w:rFonts w:cs="Arial"/>
                <w:sz w:val="16"/>
                <w:szCs w:val="16"/>
              </w:rPr>
              <w:t xml:space="preserve">ut the Spring and Sumer terms. </w:t>
            </w:r>
          </w:p>
          <w:p w14:paraId="3C71209C" w14:textId="3BE12162" w:rsidR="00B04160" w:rsidRPr="00326C32" w:rsidRDefault="00B04160" w:rsidP="00B04160">
            <w:pPr>
              <w:spacing w:after="0"/>
              <w:rPr>
                <w:rFonts w:cs="Arial"/>
                <w:b/>
              </w:rPr>
            </w:pPr>
          </w:p>
        </w:tc>
        <w:tc>
          <w:tcPr>
            <w:tcW w:w="1672" w:type="dxa"/>
          </w:tcPr>
          <w:p w14:paraId="5AFCE4DA" w14:textId="5E3DD15B" w:rsidR="00B04160" w:rsidRPr="00D417E2" w:rsidRDefault="00C6010C" w:rsidP="00B04160">
            <w:pPr>
              <w:rPr>
                <w:rFonts w:cs="Arial"/>
                <w:b/>
              </w:rPr>
            </w:pPr>
            <w:r>
              <w:rPr>
                <w:rFonts w:cs="Arial"/>
                <w:b/>
              </w:rPr>
              <w:t>£64,000</w:t>
            </w:r>
          </w:p>
        </w:tc>
      </w:tr>
      <w:tr w:rsidR="00A25D48" w:rsidRPr="00326C32" w14:paraId="2A74EA63" w14:textId="1D566AAA" w:rsidTr="00A25D48">
        <w:trPr>
          <w:trHeight w:hRule="exact" w:val="340"/>
        </w:trPr>
        <w:tc>
          <w:tcPr>
            <w:tcW w:w="15417" w:type="dxa"/>
            <w:gridSpan w:val="5"/>
            <w:tcMar>
              <w:top w:w="57" w:type="dxa"/>
              <w:bottom w:w="57" w:type="dxa"/>
            </w:tcMar>
          </w:tcPr>
          <w:p w14:paraId="0B111C3C" w14:textId="1F5161C3" w:rsidR="00A25D48" w:rsidRPr="00326C32" w:rsidRDefault="00A25D48" w:rsidP="00A25D48">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A25D48" w:rsidRPr="00326C32" w14:paraId="0E8623B2" w14:textId="77777777" w:rsidTr="004C39C5">
        <w:trPr>
          <w:trHeight w:hRule="exact" w:val="1220"/>
        </w:trPr>
        <w:tc>
          <w:tcPr>
            <w:tcW w:w="2235" w:type="dxa"/>
            <w:tcMar>
              <w:top w:w="57" w:type="dxa"/>
              <w:bottom w:w="57" w:type="dxa"/>
            </w:tcMar>
          </w:tcPr>
          <w:p w14:paraId="6250A178" w14:textId="77777777" w:rsidR="00A25D48" w:rsidRPr="00326C32" w:rsidRDefault="00A25D48" w:rsidP="00A25D48">
            <w:pPr>
              <w:rPr>
                <w:rFonts w:cs="Arial"/>
                <w:b/>
              </w:rPr>
            </w:pPr>
            <w:r w:rsidRPr="00326C32">
              <w:rPr>
                <w:rFonts w:cs="Arial"/>
                <w:b/>
              </w:rPr>
              <w:t>Desired outcome</w:t>
            </w:r>
          </w:p>
        </w:tc>
        <w:tc>
          <w:tcPr>
            <w:tcW w:w="1984" w:type="dxa"/>
            <w:tcMar>
              <w:top w:w="57" w:type="dxa"/>
              <w:bottom w:w="57" w:type="dxa"/>
            </w:tcMar>
          </w:tcPr>
          <w:p w14:paraId="4A4F59B3" w14:textId="77777777" w:rsidR="00A25D48" w:rsidRPr="00326C32" w:rsidRDefault="00A25D48" w:rsidP="00A25D48">
            <w:pPr>
              <w:rPr>
                <w:rFonts w:cs="Arial"/>
                <w:b/>
              </w:rPr>
            </w:pPr>
            <w:r w:rsidRPr="00326C32">
              <w:rPr>
                <w:rFonts w:cs="Arial"/>
                <w:b/>
              </w:rPr>
              <w:t>Chosen action / approach</w:t>
            </w:r>
          </w:p>
        </w:tc>
        <w:tc>
          <w:tcPr>
            <w:tcW w:w="4678" w:type="dxa"/>
            <w:tcMar>
              <w:top w:w="57" w:type="dxa"/>
              <w:bottom w:w="57" w:type="dxa"/>
            </w:tcMar>
          </w:tcPr>
          <w:p w14:paraId="61311173" w14:textId="77777777" w:rsidR="00A25D48" w:rsidRPr="00326C32" w:rsidRDefault="00A25D48" w:rsidP="00A25D48">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4848" w:type="dxa"/>
            <w:tcMar>
              <w:top w:w="57" w:type="dxa"/>
              <w:bottom w:w="57" w:type="dxa"/>
            </w:tcMar>
          </w:tcPr>
          <w:p w14:paraId="3277586C" w14:textId="77777777" w:rsidR="00A25D48" w:rsidRPr="00326C32" w:rsidRDefault="00A25D48" w:rsidP="00A25D48">
            <w:pPr>
              <w:spacing w:after="0"/>
              <w:rPr>
                <w:rFonts w:cs="Arial"/>
                <w:b/>
              </w:rPr>
            </w:pPr>
            <w:r w:rsidRPr="00326C32">
              <w:rPr>
                <w:rFonts w:cs="Arial"/>
                <w:b/>
              </w:rPr>
              <w:t xml:space="preserve">Lessons learned </w:t>
            </w:r>
          </w:p>
          <w:p w14:paraId="2787F370" w14:textId="77777777" w:rsidR="00A25D48" w:rsidRPr="00326C32" w:rsidRDefault="00A25D48" w:rsidP="00A25D48">
            <w:pPr>
              <w:rPr>
                <w:rFonts w:cs="Arial"/>
                <w:b/>
              </w:rPr>
            </w:pPr>
            <w:r w:rsidRPr="00326C32">
              <w:rPr>
                <w:rFonts w:cs="Arial"/>
              </w:rPr>
              <w:t>(and whether you will continue with this approach)</w:t>
            </w:r>
          </w:p>
        </w:tc>
        <w:tc>
          <w:tcPr>
            <w:tcW w:w="1672" w:type="dxa"/>
          </w:tcPr>
          <w:p w14:paraId="78BB58D8" w14:textId="77777777" w:rsidR="00A25D48" w:rsidRDefault="00A25D48" w:rsidP="00A25D48">
            <w:pPr>
              <w:rPr>
                <w:rFonts w:cs="Arial"/>
                <w:b/>
              </w:rPr>
            </w:pPr>
            <w:r w:rsidRPr="00326C32">
              <w:rPr>
                <w:rFonts w:cs="Arial"/>
                <w:b/>
              </w:rPr>
              <w:t>Cost</w:t>
            </w:r>
          </w:p>
          <w:p w14:paraId="113FF0F5" w14:textId="67C8FE3E" w:rsidR="003F2EED" w:rsidRDefault="003F2EED" w:rsidP="00A25D48">
            <w:pPr>
              <w:rPr>
                <w:rFonts w:cs="Arial"/>
                <w:b/>
              </w:rPr>
            </w:pPr>
          </w:p>
          <w:p w14:paraId="24CE8ABC" w14:textId="77777777" w:rsidR="00A04FEC" w:rsidRDefault="00A04FEC" w:rsidP="00A25D48">
            <w:pPr>
              <w:rPr>
                <w:rFonts w:cs="Arial"/>
                <w:b/>
              </w:rPr>
            </w:pPr>
          </w:p>
          <w:p w14:paraId="2592DF1D" w14:textId="32D3F419" w:rsidR="003F2EED" w:rsidRPr="00326C32" w:rsidRDefault="003F2EED" w:rsidP="00A25D48">
            <w:pPr>
              <w:rPr>
                <w:rFonts w:cs="Arial"/>
                <w:b/>
              </w:rPr>
            </w:pPr>
            <w:r w:rsidRPr="00815430">
              <w:rPr>
                <w:rFonts w:cs="Arial"/>
                <w:b/>
              </w:rPr>
              <w:t>41436</w:t>
            </w:r>
          </w:p>
        </w:tc>
      </w:tr>
      <w:tr w:rsidR="006B0EA3" w:rsidRPr="00326C32" w14:paraId="1B149862" w14:textId="77777777" w:rsidTr="004C39C5">
        <w:trPr>
          <w:trHeight w:hRule="exact" w:val="1220"/>
        </w:trPr>
        <w:tc>
          <w:tcPr>
            <w:tcW w:w="2235" w:type="dxa"/>
            <w:tcMar>
              <w:top w:w="57" w:type="dxa"/>
              <w:bottom w:w="57" w:type="dxa"/>
            </w:tcMar>
          </w:tcPr>
          <w:p w14:paraId="5F13F4D8" w14:textId="77777777" w:rsidR="006B0EA3" w:rsidRDefault="006B0EA3" w:rsidP="006B0EA3">
            <w:pPr>
              <w:spacing w:after="0"/>
              <w:rPr>
                <w:rFonts w:cs="Arial"/>
                <w:sz w:val="16"/>
                <w:szCs w:val="16"/>
              </w:rPr>
            </w:pPr>
            <w:r>
              <w:rPr>
                <w:rFonts w:cs="Arial"/>
                <w:sz w:val="16"/>
                <w:szCs w:val="16"/>
              </w:rPr>
              <w:t>Improve attendance rates and decrease Persistent absenteeism in this group of pupils.</w:t>
            </w:r>
          </w:p>
          <w:p w14:paraId="4DCC3AA5" w14:textId="7309EE9D" w:rsidR="006B0EA3" w:rsidRPr="00326C32" w:rsidRDefault="006B0EA3" w:rsidP="006B0EA3">
            <w:pPr>
              <w:rPr>
                <w:rFonts w:cs="Arial"/>
                <w:b/>
              </w:rPr>
            </w:pPr>
          </w:p>
        </w:tc>
        <w:tc>
          <w:tcPr>
            <w:tcW w:w="1984" w:type="dxa"/>
            <w:tcMar>
              <w:top w:w="57" w:type="dxa"/>
              <w:bottom w:w="57" w:type="dxa"/>
            </w:tcMar>
          </w:tcPr>
          <w:p w14:paraId="2EF29C1E" w14:textId="3B5F43B2" w:rsidR="006B0EA3" w:rsidRPr="00326C32" w:rsidRDefault="006B0EA3" w:rsidP="006B0EA3">
            <w:pPr>
              <w:rPr>
                <w:rFonts w:cs="Arial"/>
                <w:b/>
              </w:rPr>
            </w:pPr>
            <w:r>
              <w:rPr>
                <w:rFonts w:cs="Arial"/>
                <w:sz w:val="16"/>
                <w:szCs w:val="16"/>
              </w:rPr>
              <w:t xml:space="preserve">Attendance officer and pastoral lead </w:t>
            </w:r>
            <w:proofErr w:type="gramStart"/>
            <w:r>
              <w:rPr>
                <w:rFonts w:cs="Arial"/>
                <w:sz w:val="16"/>
                <w:szCs w:val="16"/>
              </w:rPr>
              <w:t xml:space="preserve">meet </w:t>
            </w:r>
            <w:r w:rsidR="009E1681">
              <w:rPr>
                <w:rFonts w:cs="Arial"/>
                <w:sz w:val="16"/>
                <w:szCs w:val="16"/>
              </w:rPr>
              <w:t xml:space="preserve"> every</w:t>
            </w:r>
            <w:proofErr w:type="gramEnd"/>
            <w:r w:rsidR="009E1681">
              <w:rPr>
                <w:rFonts w:cs="Arial"/>
                <w:sz w:val="16"/>
                <w:szCs w:val="16"/>
              </w:rPr>
              <w:t xml:space="preserve"> 6 weeks to review attendance, </w:t>
            </w:r>
            <w:r>
              <w:rPr>
                <w:rFonts w:cs="Arial"/>
                <w:sz w:val="16"/>
                <w:szCs w:val="16"/>
              </w:rPr>
              <w:t>parents of children who are PA or cause for concern every 6 weeks.  They offer help and seek solutions.</w:t>
            </w:r>
          </w:p>
        </w:tc>
        <w:tc>
          <w:tcPr>
            <w:tcW w:w="4678" w:type="dxa"/>
            <w:tcMar>
              <w:top w:w="57" w:type="dxa"/>
              <w:bottom w:w="57" w:type="dxa"/>
            </w:tcMar>
          </w:tcPr>
          <w:p w14:paraId="2C5BEC03" w14:textId="6597AF5F" w:rsidR="006B0EA3" w:rsidRPr="00326C32" w:rsidRDefault="006B0EA3" w:rsidP="006B0EA3">
            <w:pPr>
              <w:rPr>
                <w:rFonts w:cs="Arial"/>
                <w:b/>
              </w:rPr>
            </w:pPr>
            <w:r>
              <w:rPr>
                <w:rFonts w:cs="Arial"/>
                <w:sz w:val="16"/>
                <w:szCs w:val="16"/>
              </w:rPr>
              <w:t>Significant impact.  PA in this group of pupils has fallen from 20% of PPC with attendance &lt;90% to 10% of PPC with attendance &lt;90%.</w:t>
            </w:r>
          </w:p>
        </w:tc>
        <w:tc>
          <w:tcPr>
            <w:tcW w:w="4848" w:type="dxa"/>
            <w:tcMar>
              <w:top w:w="57" w:type="dxa"/>
              <w:bottom w:w="57" w:type="dxa"/>
            </w:tcMar>
          </w:tcPr>
          <w:p w14:paraId="5D7A0302" w14:textId="58C0D82D" w:rsidR="006B0EA3" w:rsidRPr="00A64BB4" w:rsidRDefault="00CA67B4" w:rsidP="009E1681">
            <w:pPr>
              <w:spacing w:after="0"/>
              <w:rPr>
                <w:rFonts w:cs="Arial"/>
                <w:sz w:val="16"/>
                <w:szCs w:val="16"/>
              </w:rPr>
            </w:pPr>
            <w:r>
              <w:rPr>
                <w:rFonts w:cs="Arial"/>
                <w:sz w:val="16"/>
                <w:szCs w:val="16"/>
              </w:rPr>
              <w:t>Attendance team (Principal, Admin officer, Pastoral Lead) to meet every 3 weeks to review attendance</w:t>
            </w:r>
            <w:r w:rsidR="009E1681">
              <w:rPr>
                <w:rFonts w:cs="Arial"/>
                <w:sz w:val="16"/>
                <w:szCs w:val="16"/>
              </w:rPr>
              <w:t>, broaden scope out to children with attendance between 93% and 96%.</w:t>
            </w:r>
            <w:r w:rsidR="00047E75">
              <w:rPr>
                <w:rFonts w:cs="Arial"/>
                <w:sz w:val="16"/>
                <w:szCs w:val="16"/>
              </w:rPr>
              <w:t xml:space="preserve">  Work collaboratively to follow best practice from the Enquire Learning Trust in increasing attendance for this cohort of pupils.</w:t>
            </w:r>
          </w:p>
        </w:tc>
        <w:tc>
          <w:tcPr>
            <w:tcW w:w="1672" w:type="dxa"/>
          </w:tcPr>
          <w:p w14:paraId="2CD24E5A" w14:textId="52C65E96" w:rsidR="006B0EA3" w:rsidRPr="00326C32" w:rsidRDefault="009E1681" w:rsidP="006B0EA3">
            <w:pPr>
              <w:rPr>
                <w:rFonts w:cs="Arial"/>
                <w:b/>
              </w:rPr>
            </w:pPr>
            <w:r>
              <w:rPr>
                <w:rFonts w:cs="Arial"/>
                <w:b/>
              </w:rPr>
              <w:t>£8</w:t>
            </w:r>
            <w:r w:rsidR="006B0EA3">
              <w:rPr>
                <w:rFonts w:cs="Arial"/>
                <w:b/>
              </w:rPr>
              <w:t>,000</w:t>
            </w:r>
          </w:p>
        </w:tc>
      </w:tr>
      <w:tr w:rsidR="009E1681" w:rsidRPr="00326C32" w14:paraId="39F15926" w14:textId="77777777" w:rsidTr="006F3CEA">
        <w:trPr>
          <w:trHeight w:hRule="exact" w:val="397"/>
        </w:trPr>
        <w:tc>
          <w:tcPr>
            <w:tcW w:w="15417" w:type="dxa"/>
            <w:gridSpan w:val="5"/>
            <w:tcMar>
              <w:top w:w="57" w:type="dxa"/>
              <w:bottom w:w="57" w:type="dxa"/>
            </w:tcMar>
          </w:tcPr>
          <w:p w14:paraId="7305A0A9" w14:textId="30323146" w:rsidR="009E1681" w:rsidRPr="009E1681" w:rsidRDefault="009E1681" w:rsidP="009E1681">
            <w:pPr>
              <w:pStyle w:val="ListParagraph"/>
              <w:numPr>
                <w:ilvl w:val="0"/>
                <w:numId w:val="27"/>
              </w:numPr>
              <w:rPr>
                <w:rFonts w:cs="Arial"/>
                <w:b/>
              </w:rPr>
            </w:pPr>
            <w:r>
              <w:rPr>
                <w:rFonts w:cs="Arial"/>
                <w:b/>
              </w:rPr>
              <w:t>Other approaches</w:t>
            </w:r>
          </w:p>
        </w:tc>
      </w:tr>
      <w:tr w:rsidR="00B04160" w:rsidRPr="00326C32" w14:paraId="75F31C1E" w14:textId="77777777" w:rsidTr="00324F63">
        <w:trPr>
          <w:trHeight w:hRule="exact" w:val="4153"/>
        </w:trPr>
        <w:tc>
          <w:tcPr>
            <w:tcW w:w="2235" w:type="dxa"/>
            <w:tcMar>
              <w:top w:w="57" w:type="dxa"/>
              <w:bottom w:w="57" w:type="dxa"/>
            </w:tcMar>
          </w:tcPr>
          <w:p w14:paraId="5B1CC29B" w14:textId="0481421F" w:rsidR="00B04160" w:rsidRPr="001D287C" w:rsidRDefault="00063670" w:rsidP="00B04160">
            <w:pPr>
              <w:rPr>
                <w:rFonts w:cs="Arial"/>
                <w:sz w:val="16"/>
                <w:szCs w:val="16"/>
              </w:rPr>
            </w:pPr>
            <w:r>
              <w:rPr>
                <w:rFonts w:cs="Arial"/>
                <w:sz w:val="16"/>
                <w:szCs w:val="16"/>
              </w:rPr>
              <w:t xml:space="preserve">Improve </w:t>
            </w:r>
            <w:r w:rsidR="008C53D8">
              <w:rPr>
                <w:rFonts w:cs="Arial"/>
                <w:sz w:val="16"/>
                <w:szCs w:val="16"/>
              </w:rPr>
              <w:t>wellbeing</w:t>
            </w:r>
            <w:r>
              <w:rPr>
                <w:rFonts w:cs="Arial"/>
                <w:sz w:val="16"/>
                <w:szCs w:val="16"/>
              </w:rPr>
              <w:t xml:space="preserve"> of this group of children.</w:t>
            </w:r>
            <w:r w:rsidR="00F03E2B">
              <w:rPr>
                <w:rFonts w:cs="Arial"/>
                <w:sz w:val="16"/>
                <w:szCs w:val="16"/>
              </w:rPr>
              <w:t xml:space="preserve"> </w:t>
            </w:r>
            <w:r w:rsidR="00CA67B4">
              <w:rPr>
                <w:rFonts w:cs="Arial"/>
                <w:sz w:val="16"/>
                <w:szCs w:val="16"/>
              </w:rPr>
              <w:t xml:space="preserve">  Reduce the incidents of behaviour that lead to fixed term exclusions</w:t>
            </w:r>
            <w:r w:rsidR="00F03E2B">
              <w:rPr>
                <w:rFonts w:cs="Arial"/>
                <w:sz w:val="16"/>
                <w:szCs w:val="16"/>
              </w:rPr>
              <w:t xml:space="preserve"> </w:t>
            </w:r>
          </w:p>
        </w:tc>
        <w:tc>
          <w:tcPr>
            <w:tcW w:w="1984" w:type="dxa"/>
            <w:tcMar>
              <w:top w:w="57" w:type="dxa"/>
              <w:bottom w:w="57" w:type="dxa"/>
            </w:tcMar>
          </w:tcPr>
          <w:p w14:paraId="796298C9" w14:textId="2A4F49C6" w:rsidR="00B04160" w:rsidRDefault="00063670" w:rsidP="006B0EA3">
            <w:pPr>
              <w:spacing w:after="0"/>
              <w:rPr>
                <w:rFonts w:cs="Arial"/>
                <w:sz w:val="16"/>
                <w:szCs w:val="16"/>
              </w:rPr>
            </w:pPr>
            <w:r>
              <w:rPr>
                <w:rFonts w:cs="Arial"/>
                <w:sz w:val="16"/>
                <w:szCs w:val="16"/>
              </w:rPr>
              <w:t xml:space="preserve">Raise </w:t>
            </w:r>
            <w:r w:rsidR="008C53D8">
              <w:rPr>
                <w:rFonts w:cs="Arial"/>
                <w:sz w:val="16"/>
                <w:szCs w:val="16"/>
              </w:rPr>
              <w:t>self-esteem</w:t>
            </w:r>
            <w:r>
              <w:rPr>
                <w:rFonts w:cs="Arial"/>
                <w:sz w:val="16"/>
                <w:szCs w:val="16"/>
              </w:rPr>
              <w:t xml:space="preserve"> by completing a week-long activity residential at Kingswood.  Funding used to reduce costs for families.</w:t>
            </w:r>
          </w:p>
        </w:tc>
        <w:tc>
          <w:tcPr>
            <w:tcW w:w="4678" w:type="dxa"/>
            <w:tcMar>
              <w:top w:w="57" w:type="dxa"/>
              <w:bottom w:w="57" w:type="dxa"/>
            </w:tcMar>
          </w:tcPr>
          <w:p w14:paraId="435264E6" w14:textId="28515909" w:rsidR="00B04160" w:rsidRDefault="00063670" w:rsidP="00047E75">
            <w:pPr>
              <w:spacing w:after="0"/>
              <w:rPr>
                <w:rFonts w:cs="Arial"/>
                <w:sz w:val="16"/>
                <w:szCs w:val="16"/>
              </w:rPr>
            </w:pPr>
            <w:r>
              <w:rPr>
                <w:rFonts w:cs="Arial"/>
                <w:sz w:val="16"/>
                <w:szCs w:val="16"/>
              </w:rPr>
              <w:t xml:space="preserve">Significant positive impact of </w:t>
            </w:r>
            <w:r w:rsidR="008C53D8">
              <w:rPr>
                <w:rFonts w:cs="Arial"/>
                <w:sz w:val="16"/>
                <w:szCs w:val="16"/>
              </w:rPr>
              <w:t>self-esteem</w:t>
            </w:r>
            <w:r>
              <w:rPr>
                <w:rFonts w:cs="Arial"/>
                <w:sz w:val="16"/>
                <w:szCs w:val="16"/>
              </w:rPr>
              <w:t xml:space="preserve"> and team building.  Instances of negative and ina</w:t>
            </w:r>
            <w:r w:rsidR="00047E75">
              <w:rPr>
                <w:rFonts w:cs="Arial"/>
                <w:sz w:val="16"/>
                <w:szCs w:val="16"/>
              </w:rPr>
              <w:t>ppropriate behaviour in the 2019-20 cohort (proportionately between September</w:t>
            </w:r>
            <w:r w:rsidR="005E2AF7">
              <w:rPr>
                <w:rFonts w:cs="Arial"/>
                <w:sz w:val="16"/>
                <w:szCs w:val="16"/>
              </w:rPr>
              <w:t xml:space="preserve"> 19</w:t>
            </w:r>
            <w:r w:rsidR="00047E75">
              <w:rPr>
                <w:rFonts w:cs="Arial"/>
                <w:sz w:val="16"/>
                <w:szCs w:val="16"/>
              </w:rPr>
              <w:t xml:space="preserve"> and March</w:t>
            </w:r>
            <w:r w:rsidR="005E2AF7">
              <w:rPr>
                <w:rFonts w:cs="Arial"/>
                <w:sz w:val="16"/>
                <w:szCs w:val="16"/>
              </w:rPr>
              <w:t xml:space="preserve"> 2020</w:t>
            </w:r>
            <w:r w:rsidR="00047E75">
              <w:rPr>
                <w:rFonts w:cs="Arial"/>
                <w:sz w:val="16"/>
                <w:szCs w:val="16"/>
              </w:rPr>
              <w:t>)</w:t>
            </w:r>
            <w:r w:rsidR="005E2AF7">
              <w:rPr>
                <w:rFonts w:cs="Arial"/>
                <w:sz w:val="16"/>
                <w:szCs w:val="16"/>
              </w:rPr>
              <w:t xml:space="preserve"> were significantly reduced from academic year 2018-19.  15 sessions of school for children eligible for PPG were lost due to fixed term exclusions in 2019, down from 42 sessions in 2018/19. </w:t>
            </w:r>
            <w:r>
              <w:rPr>
                <w:rFonts w:cs="Arial"/>
                <w:sz w:val="16"/>
                <w:szCs w:val="16"/>
              </w:rPr>
              <w:t xml:space="preserve">  Instances of ‘time out’ within the behaviour code were reduced for this cohort.  Fixed term exclusions were reduced for this cohort.</w:t>
            </w:r>
          </w:p>
          <w:p w14:paraId="2A48858A" w14:textId="77777777" w:rsidR="00047E75" w:rsidRDefault="00047E75" w:rsidP="00047E75">
            <w:pPr>
              <w:spacing w:after="0"/>
              <w:rPr>
                <w:rFonts w:cs="Arial"/>
                <w:sz w:val="16"/>
                <w:szCs w:val="16"/>
              </w:rPr>
            </w:pPr>
          </w:p>
          <w:p w14:paraId="568C471C" w14:textId="0A106270" w:rsidR="00047E75" w:rsidRDefault="00047E75" w:rsidP="00047E75">
            <w:pPr>
              <w:spacing w:after="0"/>
              <w:rPr>
                <w:rFonts w:cs="Arial"/>
                <w:sz w:val="16"/>
                <w:szCs w:val="16"/>
              </w:rPr>
            </w:pPr>
            <w:r>
              <w:rPr>
                <w:rFonts w:cs="Arial"/>
                <w:sz w:val="16"/>
                <w:szCs w:val="16"/>
              </w:rPr>
              <w:t xml:space="preserve">Although the school went into lockdown, the SLA for counselling continued, the salary for the pastoral lead continued.  Additional funding for car travel for staff to make house visits for children eligible for PPG and were vulnerable. </w:t>
            </w:r>
          </w:p>
        </w:tc>
        <w:tc>
          <w:tcPr>
            <w:tcW w:w="4848" w:type="dxa"/>
            <w:tcMar>
              <w:top w:w="57" w:type="dxa"/>
              <w:bottom w:w="57" w:type="dxa"/>
            </w:tcMar>
          </w:tcPr>
          <w:p w14:paraId="131BC204" w14:textId="77777777" w:rsidR="00B04160" w:rsidRDefault="00063670" w:rsidP="00C6010C">
            <w:pPr>
              <w:spacing w:after="0"/>
              <w:rPr>
                <w:rFonts w:cs="Arial"/>
                <w:sz w:val="16"/>
                <w:szCs w:val="16"/>
              </w:rPr>
            </w:pPr>
            <w:r>
              <w:rPr>
                <w:rFonts w:cs="Arial"/>
                <w:sz w:val="16"/>
                <w:szCs w:val="16"/>
              </w:rPr>
              <w:t>Continue with approach for Year 6 2019-20 cohort.</w:t>
            </w:r>
            <w:r w:rsidR="0000137C">
              <w:rPr>
                <w:rFonts w:cs="Arial"/>
                <w:sz w:val="16"/>
                <w:szCs w:val="16"/>
              </w:rPr>
              <w:t xml:space="preserve"> </w:t>
            </w:r>
            <w:r w:rsidR="008C53D8">
              <w:rPr>
                <w:rFonts w:cs="Arial"/>
                <w:sz w:val="16"/>
                <w:szCs w:val="16"/>
              </w:rPr>
              <w:t>Evidence shows that it does have a positive impact on self-esteem and attitudes to learning and self-management.</w:t>
            </w:r>
          </w:p>
          <w:p w14:paraId="64581810" w14:textId="77777777" w:rsidR="00CA67B4" w:rsidRDefault="00CA67B4" w:rsidP="00C6010C">
            <w:pPr>
              <w:spacing w:after="0"/>
              <w:rPr>
                <w:rFonts w:cs="Arial"/>
                <w:sz w:val="16"/>
                <w:szCs w:val="16"/>
              </w:rPr>
            </w:pPr>
          </w:p>
          <w:p w14:paraId="5E90F32F" w14:textId="08B62F50" w:rsidR="00CA67B4" w:rsidRPr="00C6010C" w:rsidRDefault="00CA67B4" w:rsidP="00C6010C">
            <w:pPr>
              <w:spacing w:after="0"/>
              <w:rPr>
                <w:rFonts w:cs="Arial"/>
                <w:sz w:val="16"/>
                <w:szCs w:val="16"/>
              </w:rPr>
            </w:pPr>
            <w:r>
              <w:rPr>
                <w:rFonts w:cs="Arial"/>
                <w:sz w:val="16"/>
                <w:szCs w:val="16"/>
              </w:rPr>
              <w:t xml:space="preserve">Further develop practice and CPD in using </w:t>
            </w:r>
            <w:r w:rsidR="00C77E8C">
              <w:rPr>
                <w:rFonts w:cs="Arial"/>
                <w:sz w:val="16"/>
                <w:szCs w:val="16"/>
              </w:rPr>
              <w:t>‘Positive R</w:t>
            </w:r>
            <w:r>
              <w:rPr>
                <w:rFonts w:cs="Arial"/>
                <w:sz w:val="16"/>
                <w:szCs w:val="16"/>
              </w:rPr>
              <w:t>egard</w:t>
            </w:r>
            <w:r w:rsidR="00C77E8C">
              <w:rPr>
                <w:rFonts w:cs="Arial"/>
                <w:sz w:val="16"/>
                <w:szCs w:val="16"/>
              </w:rPr>
              <w:t>’ and exclusion prevention</w:t>
            </w:r>
            <w:r w:rsidR="005E2AF7">
              <w:rPr>
                <w:rFonts w:cs="Arial"/>
                <w:sz w:val="16"/>
                <w:szCs w:val="16"/>
              </w:rPr>
              <w:t>.</w:t>
            </w:r>
            <w:r>
              <w:rPr>
                <w:rFonts w:cs="Arial"/>
                <w:sz w:val="16"/>
                <w:szCs w:val="16"/>
              </w:rPr>
              <w:t xml:space="preserve"> </w:t>
            </w:r>
          </w:p>
        </w:tc>
        <w:tc>
          <w:tcPr>
            <w:tcW w:w="1672" w:type="dxa"/>
          </w:tcPr>
          <w:p w14:paraId="79CE2F22" w14:textId="272390A3" w:rsidR="00B04160" w:rsidRPr="00326C32" w:rsidRDefault="008C53D8" w:rsidP="00B04160">
            <w:pPr>
              <w:rPr>
                <w:rFonts w:cs="Arial"/>
                <w:b/>
              </w:rPr>
            </w:pPr>
            <w:r>
              <w:rPr>
                <w:rFonts w:cs="Arial"/>
                <w:b/>
              </w:rPr>
              <w:t>£20</w:t>
            </w:r>
            <w:r w:rsidR="008B364D">
              <w:rPr>
                <w:rFonts w:cs="Arial"/>
                <w:b/>
              </w:rPr>
              <w:t>,000</w:t>
            </w:r>
          </w:p>
        </w:tc>
      </w:tr>
      <w:tr w:rsidR="00326C32" w:rsidRPr="00326C32" w14:paraId="2609C484" w14:textId="77777777" w:rsidTr="003370AC">
        <w:tc>
          <w:tcPr>
            <w:tcW w:w="15417" w:type="dxa"/>
            <w:gridSpan w:val="5"/>
            <w:shd w:val="clear" w:color="auto" w:fill="92D050"/>
            <w:tcMar>
              <w:top w:w="57" w:type="dxa"/>
              <w:bottom w:w="57" w:type="dxa"/>
            </w:tcMar>
          </w:tcPr>
          <w:p w14:paraId="3284A70F" w14:textId="0F68AFCC" w:rsidR="00326C32" w:rsidRPr="00326C32" w:rsidRDefault="00326C32" w:rsidP="00C6010C">
            <w:pPr>
              <w:pStyle w:val="ListParagraph"/>
              <w:numPr>
                <w:ilvl w:val="0"/>
                <w:numId w:val="0"/>
              </w:numPr>
              <w:spacing w:after="0" w:line="240" w:lineRule="auto"/>
              <w:ind w:left="567"/>
              <w:contextualSpacing w:val="0"/>
              <w:rPr>
                <w:rFonts w:cs="Arial"/>
                <w:b/>
              </w:rPr>
            </w:pPr>
          </w:p>
        </w:tc>
      </w:tr>
      <w:tr w:rsidR="00326C32" w:rsidRPr="00326C32" w14:paraId="19738AA6" w14:textId="77777777" w:rsidTr="001D569D">
        <w:trPr>
          <w:trHeight w:val="9741"/>
        </w:trPr>
        <w:tc>
          <w:tcPr>
            <w:tcW w:w="15417" w:type="dxa"/>
            <w:gridSpan w:val="5"/>
            <w:shd w:val="clear" w:color="auto" w:fill="auto"/>
            <w:tcMar>
              <w:top w:w="57" w:type="dxa"/>
              <w:bottom w:w="57" w:type="dxa"/>
            </w:tcMar>
          </w:tcPr>
          <w:p w14:paraId="5FC4BC2A" w14:textId="1F9994A7" w:rsidR="00325A82" w:rsidRPr="00325A82" w:rsidRDefault="00325A82" w:rsidP="00C173AC">
            <w:pPr>
              <w:pStyle w:val="ListParagraph"/>
              <w:numPr>
                <w:ilvl w:val="0"/>
                <w:numId w:val="0"/>
              </w:numPr>
              <w:ind w:left="720"/>
              <w:rPr>
                <w:rFonts w:cs="Arial"/>
              </w:rPr>
            </w:pP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71E4" w14:textId="77777777" w:rsidR="00CA67B4" w:rsidRDefault="00CA67B4" w:rsidP="009F41B6">
      <w:r>
        <w:separator/>
      </w:r>
    </w:p>
    <w:p w14:paraId="3B80F3D9" w14:textId="77777777" w:rsidR="00CA67B4" w:rsidRDefault="00CA67B4" w:rsidP="009F41B6"/>
  </w:endnote>
  <w:endnote w:type="continuationSeparator" w:id="0">
    <w:p w14:paraId="6C530AA6" w14:textId="77777777" w:rsidR="00CA67B4" w:rsidRDefault="00CA67B4" w:rsidP="009F41B6">
      <w:r>
        <w:continuationSeparator/>
      </w:r>
    </w:p>
    <w:p w14:paraId="48CC7B3D" w14:textId="77777777" w:rsidR="00CA67B4" w:rsidRDefault="00CA67B4"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58AA45E7" w:rsidR="00CA67B4" w:rsidRDefault="00CA67B4" w:rsidP="00B929B0">
        <w:pPr>
          <w:pStyle w:val="Footer"/>
          <w:tabs>
            <w:tab w:val="clear" w:pos="4513"/>
          </w:tabs>
          <w:jc w:val="center"/>
        </w:pPr>
        <w:r>
          <w:fldChar w:fldCharType="begin"/>
        </w:r>
        <w:r>
          <w:instrText xml:space="preserve"> PAGE   \* MERGEFORMAT </w:instrText>
        </w:r>
        <w:r>
          <w:fldChar w:fldCharType="separate"/>
        </w:r>
        <w:r w:rsidR="00324F6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6FE9" w14:textId="77777777" w:rsidR="00CA67B4" w:rsidRDefault="00CA67B4" w:rsidP="009F41B6">
      <w:r>
        <w:separator/>
      </w:r>
    </w:p>
    <w:p w14:paraId="21D40833" w14:textId="77777777" w:rsidR="00CA67B4" w:rsidRDefault="00CA67B4" w:rsidP="009F41B6"/>
  </w:footnote>
  <w:footnote w:type="continuationSeparator" w:id="0">
    <w:p w14:paraId="0C19278B" w14:textId="77777777" w:rsidR="00CA67B4" w:rsidRDefault="00CA67B4" w:rsidP="009F41B6">
      <w:r>
        <w:continuationSeparator/>
      </w:r>
    </w:p>
    <w:p w14:paraId="3C0EA7A9" w14:textId="77777777" w:rsidR="00CA67B4" w:rsidRDefault="00CA67B4"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CA67B4" w:rsidRDefault="00CA67B4">
    <w:pPr>
      <w:pStyle w:val="Header"/>
    </w:pPr>
  </w:p>
  <w:p w14:paraId="2B8C5917" w14:textId="77777777" w:rsidR="00CA67B4" w:rsidRDefault="00CA67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CA67B4" w:rsidRPr="003F351B" w:rsidRDefault="00CA67B4"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CA67B4" w:rsidRPr="003F351B" w:rsidRDefault="00CA67B4"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2BF0991"/>
    <w:multiLevelType w:val="hybridMultilevel"/>
    <w:tmpl w:val="55680694"/>
    <w:lvl w:ilvl="0" w:tplc="BDEA4B3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80C3B"/>
    <w:multiLevelType w:val="hybridMultilevel"/>
    <w:tmpl w:val="D6A8A6DA"/>
    <w:lvl w:ilvl="0" w:tplc="BDEA4B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F2FBE"/>
    <w:multiLevelType w:val="hybridMultilevel"/>
    <w:tmpl w:val="963C0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D1ACF"/>
    <w:multiLevelType w:val="hybridMultilevel"/>
    <w:tmpl w:val="D3CE2B1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90648"/>
    <w:multiLevelType w:val="hybridMultilevel"/>
    <w:tmpl w:val="C9204EF0"/>
    <w:lvl w:ilvl="0" w:tplc="BDEA4B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66A38"/>
    <w:multiLevelType w:val="hybridMultilevel"/>
    <w:tmpl w:val="485AF47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3"/>
  </w:num>
  <w:num w:numId="2">
    <w:abstractNumId w:val="8"/>
  </w:num>
  <w:num w:numId="3">
    <w:abstractNumId w:val="0"/>
  </w:num>
  <w:num w:numId="4">
    <w:abstractNumId w:val="7"/>
  </w:num>
  <w:num w:numId="5">
    <w:abstractNumId w:val="2"/>
  </w:num>
  <w:num w:numId="6">
    <w:abstractNumId w:val="1"/>
  </w:num>
  <w:num w:numId="7">
    <w:abstractNumId w:val="19"/>
  </w:num>
  <w:num w:numId="8">
    <w:abstractNumId w:val="12"/>
  </w:num>
  <w:num w:numId="9">
    <w:abstractNumId w:val="24"/>
  </w:num>
  <w:num w:numId="10">
    <w:abstractNumId w:val="10"/>
  </w:num>
  <w:num w:numId="11">
    <w:abstractNumId w:val="32"/>
  </w:num>
  <w:num w:numId="12">
    <w:abstractNumId w:val="28"/>
  </w:num>
  <w:num w:numId="13">
    <w:abstractNumId w:val="5"/>
  </w:num>
  <w:num w:numId="14">
    <w:abstractNumId w:val="6"/>
  </w:num>
  <w:num w:numId="15">
    <w:abstractNumId w:val="27"/>
  </w:num>
  <w:num w:numId="16">
    <w:abstractNumId w:val="11"/>
  </w:num>
  <w:num w:numId="17">
    <w:abstractNumId w:val="36"/>
  </w:num>
  <w:num w:numId="18">
    <w:abstractNumId w:val="20"/>
  </w:num>
  <w:num w:numId="19">
    <w:abstractNumId w:val="25"/>
  </w:num>
  <w:num w:numId="20">
    <w:abstractNumId w:val="18"/>
  </w:num>
  <w:num w:numId="21">
    <w:abstractNumId w:val="38"/>
  </w:num>
  <w:num w:numId="22">
    <w:abstractNumId w:val="16"/>
  </w:num>
  <w:num w:numId="23">
    <w:abstractNumId w:val="13"/>
  </w:num>
  <w:num w:numId="24">
    <w:abstractNumId w:val="23"/>
  </w:num>
  <w:num w:numId="25">
    <w:abstractNumId w:val="31"/>
  </w:num>
  <w:num w:numId="26">
    <w:abstractNumId w:val="9"/>
  </w:num>
  <w:num w:numId="27">
    <w:abstractNumId w:val="41"/>
  </w:num>
  <w:num w:numId="28">
    <w:abstractNumId w:val="22"/>
  </w:num>
  <w:num w:numId="29">
    <w:abstractNumId w:val="34"/>
  </w:num>
  <w:num w:numId="30">
    <w:abstractNumId w:val="29"/>
  </w:num>
  <w:num w:numId="31">
    <w:abstractNumId w:val="26"/>
  </w:num>
  <w:num w:numId="32">
    <w:abstractNumId w:val="14"/>
  </w:num>
  <w:num w:numId="33">
    <w:abstractNumId w:val="37"/>
  </w:num>
  <w:num w:numId="34">
    <w:abstractNumId w:val="35"/>
  </w:num>
  <w:num w:numId="35">
    <w:abstractNumId w:val="15"/>
  </w:num>
  <w:num w:numId="36">
    <w:abstractNumId w:val="17"/>
  </w:num>
  <w:num w:numId="37">
    <w:abstractNumId w:val="4"/>
  </w:num>
  <w:num w:numId="38">
    <w:abstractNumId w:val="40"/>
  </w:num>
  <w:num w:numId="39">
    <w:abstractNumId w:val="39"/>
  </w:num>
  <w:num w:numId="40">
    <w:abstractNumId w:val="3"/>
  </w:num>
  <w:num w:numId="41">
    <w:abstractNumId w:val="21"/>
  </w:num>
  <w:num w:numId="42">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137C"/>
    <w:rsid w:val="00011A88"/>
    <w:rsid w:val="00013A6E"/>
    <w:rsid w:val="000162C6"/>
    <w:rsid w:val="00016B04"/>
    <w:rsid w:val="0002203B"/>
    <w:rsid w:val="00023913"/>
    <w:rsid w:val="00024EA2"/>
    <w:rsid w:val="00030ABD"/>
    <w:rsid w:val="00031F36"/>
    <w:rsid w:val="00036EE2"/>
    <w:rsid w:val="000409AC"/>
    <w:rsid w:val="000442BD"/>
    <w:rsid w:val="00047E75"/>
    <w:rsid w:val="00047F63"/>
    <w:rsid w:val="00051E2E"/>
    <w:rsid w:val="0005316C"/>
    <w:rsid w:val="00053503"/>
    <w:rsid w:val="0005595B"/>
    <w:rsid w:val="00057100"/>
    <w:rsid w:val="00060EBF"/>
    <w:rsid w:val="00063670"/>
    <w:rsid w:val="00066B1C"/>
    <w:rsid w:val="0007258F"/>
    <w:rsid w:val="00074179"/>
    <w:rsid w:val="00074641"/>
    <w:rsid w:val="000771DF"/>
    <w:rsid w:val="00081EE7"/>
    <w:rsid w:val="00083A73"/>
    <w:rsid w:val="00086722"/>
    <w:rsid w:val="00095901"/>
    <w:rsid w:val="000A10F4"/>
    <w:rsid w:val="000A4B41"/>
    <w:rsid w:val="000B3DE0"/>
    <w:rsid w:val="000B4A3E"/>
    <w:rsid w:val="000C503E"/>
    <w:rsid w:val="000C6B02"/>
    <w:rsid w:val="000C7733"/>
    <w:rsid w:val="000D137C"/>
    <w:rsid w:val="000D1D30"/>
    <w:rsid w:val="000D4433"/>
    <w:rsid w:val="000D5697"/>
    <w:rsid w:val="000D6F15"/>
    <w:rsid w:val="000E2AF9"/>
    <w:rsid w:val="000E3350"/>
    <w:rsid w:val="000E46AE"/>
    <w:rsid w:val="000E4E10"/>
    <w:rsid w:val="000E799C"/>
    <w:rsid w:val="000F00C9"/>
    <w:rsid w:val="000F1A98"/>
    <w:rsid w:val="000F22D0"/>
    <w:rsid w:val="000F24AA"/>
    <w:rsid w:val="000F73F3"/>
    <w:rsid w:val="000F78EE"/>
    <w:rsid w:val="00103E77"/>
    <w:rsid w:val="00113E8C"/>
    <w:rsid w:val="0011494F"/>
    <w:rsid w:val="00121C6C"/>
    <w:rsid w:val="001232CE"/>
    <w:rsid w:val="0012742C"/>
    <w:rsid w:val="00131EB4"/>
    <w:rsid w:val="001321D2"/>
    <w:rsid w:val="00133075"/>
    <w:rsid w:val="00144268"/>
    <w:rsid w:val="001459AC"/>
    <w:rsid w:val="00147214"/>
    <w:rsid w:val="00147284"/>
    <w:rsid w:val="00152A3A"/>
    <w:rsid w:val="001533F3"/>
    <w:rsid w:val="001540AB"/>
    <w:rsid w:val="00155ECC"/>
    <w:rsid w:val="001615DF"/>
    <w:rsid w:val="00161A13"/>
    <w:rsid w:val="0017051C"/>
    <w:rsid w:val="00171F6B"/>
    <w:rsid w:val="00174104"/>
    <w:rsid w:val="001747E2"/>
    <w:rsid w:val="00176EB9"/>
    <w:rsid w:val="001811F8"/>
    <w:rsid w:val="00183D0C"/>
    <w:rsid w:val="00190C3A"/>
    <w:rsid w:val="00195C08"/>
    <w:rsid w:val="00196306"/>
    <w:rsid w:val="001A0936"/>
    <w:rsid w:val="001A3A04"/>
    <w:rsid w:val="001B2AE2"/>
    <w:rsid w:val="001B4173"/>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0204"/>
    <w:rsid w:val="001F257C"/>
    <w:rsid w:val="001F428D"/>
    <w:rsid w:val="00203ACA"/>
    <w:rsid w:val="00203EC9"/>
    <w:rsid w:val="00207CF2"/>
    <w:rsid w:val="00210E6D"/>
    <w:rsid w:val="002113CF"/>
    <w:rsid w:val="00212E0B"/>
    <w:rsid w:val="00214378"/>
    <w:rsid w:val="00214713"/>
    <w:rsid w:val="0022255C"/>
    <w:rsid w:val="0022489D"/>
    <w:rsid w:val="002262F3"/>
    <w:rsid w:val="002272E4"/>
    <w:rsid w:val="00230559"/>
    <w:rsid w:val="0023095D"/>
    <w:rsid w:val="002332F8"/>
    <w:rsid w:val="002337D4"/>
    <w:rsid w:val="00234F75"/>
    <w:rsid w:val="00237C3C"/>
    <w:rsid w:val="00237F6B"/>
    <w:rsid w:val="002406E2"/>
    <w:rsid w:val="00240F4B"/>
    <w:rsid w:val="002575C5"/>
    <w:rsid w:val="002634E2"/>
    <w:rsid w:val="00266AC5"/>
    <w:rsid w:val="002708E4"/>
    <w:rsid w:val="0027230F"/>
    <w:rsid w:val="0027252F"/>
    <w:rsid w:val="00273718"/>
    <w:rsid w:val="00277A2E"/>
    <w:rsid w:val="002800B4"/>
    <w:rsid w:val="002839B5"/>
    <w:rsid w:val="00283D8B"/>
    <w:rsid w:val="00287788"/>
    <w:rsid w:val="00291E8A"/>
    <w:rsid w:val="00292DED"/>
    <w:rsid w:val="002A1D3B"/>
    <w:rsid w:val="002A28F7"/>
    <w:rsid w:val="002A3153"/>
    <w:rsid w:val="002B0709"/>
    <w:rsid w:val="002B2775"/>
    <w:rsid w:val="002B37EB"/>
    <w:rsid w:val="002B47DC"/>
    <w:rsid w:val="002C10B1"/>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070E4"/>
    <w:rsid w:val="003154AC"/>
    <w:rsid w:val="00316DD9"/>
    <w:rsid w:val="00323776"/>
    <w:rsid w:val="00324F63"/>
    <w:rsid w:val="00325A82"/>
    <w:rsid w:val="00325D84"/>
    <w:rsid w:val="00326C32"/>
    <w:rsid w:val="00333B04"/>
    <w:rsid w:val="003370A4"/>
    <w:rsid w:val="003370AC"/>
    <w:rsid w:val="003409F2"/>
    <w:rsid w:val="0034222D"/>
    <w:rsid w:val="00343EFD"/>
    <w:rsid w:val="00344DC4"/>
    <w:rsid w:val="00347C36"/>
    <w:rsid w:val="00351B0F"/>
    <w:rsid w:val="00361441"/>
    <w:rsid w:val="00361752"/>
    <w:rsid w:val="00361FE6"/>
    <w:rsid w:val="00364F65"/>
    <w:rsid w:val="00374981"/>
    <w:rsid w:val="0037557E"/>
    <w:rsid w:val="003762E6"/>
    <w:rsid w:val="0037708A"/>
    <w:rsid w:val="003810D8"/>
    <w:rsid w:val="003817C5"/>
    <w:rsid w:val="003853A4"/>
    <w:rsid w:val="003864BB"/>
    <w:rsid w:val="00386C62"/>
    <w:rsid w:val="00390B80"/>
    <w:rsid w:val="003A01C4"/>
    <w:rsid w:val="003A1CC2"/>
    <w:rsid w:val="003C0411"/>
    <w:rsid w:val="003C1ECF"/>
    <w:rsid w:val="003C1F39"/>
    <w:rsid w:val="003C60B5"/>
    <w:rsid w:val="003C61EE"/>
    <w:rsid w:val="003D1997"/>
    <w:rsid w:val="003D1EFE"/>
    <w:rsid w:val="003D764C"/>
    <w:rsid w:val="003E129B"/>
    <w:rsid w:val="003E1329"/>
    <w:rsid w:val="003E4B03"/>
    <w:rsid w:val="003E59EE"/>
    <w:rsid w:val="003F05A6"/>
    <w:rsid w:val="003F28B3"/>
    <w:rsid w:val="003F2EED"/>
    <w:rsid w:val="003F351B"/>
    <w:rsid w:val="003F63E0"/>
    <w:rsid w:val="003F751E"/>
    <w:rsid w:val="003F7BDE"/>
    <w:rsid w:val="00400E28"/>
    <w:rsid w:val="00407032"/>
    <w:rsid w:val="00414D29"/>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0C9C"/>
    <w:rsid w:val="00482BF2"/>
    <w:rsid w:val="004866AD"/>
    <w:rsid w:val="004977DF"/>
    <w:rsid w:val="00497D2D"/>
    <w:rsid w:val="004A0192"/>
    <w:rsid w:val="004A25DF"/>
    <w:rsid w:val="004B0132"/>
    <w:rsid w:val="004B04AD"/>
    <w:rsid w:val="004B19E5"/>
    <w:rsid w:val="004B4394"/>
    <w:rsid w:val="004B6B92"/>
    <w:rsid w:val="004C1DC7"/>
    <w:rsid w:val="004C39C5"/>
    <w:rsid w:val="004C5ACB"/>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86963"/>
    <w:rsid w:val="005905B1"/>
    <w:rsid w:val="005914F1"/>
    <w:rsid w:val="0059494A"/>
    <w:rsid w:val="005A07FF"/>
    <w:rsid w:val="005A4AE2"/>
    <w:rsid w:val="005A65F5"/>
    <w:rsid w:val="005A67AA"/>
    <w:rsid w:val="005A6DE5"/>
    <w:rsid w:val="005A71BA"/>
    <w:rsid w:val="005A7C7F"/>
    <w:rsid w:val="005A7D82"/>
    <w:rsid w:val="005B137B"/>
    <w:rsid w:val="005B1536"/>
    <w:rsid w:val="005B2FD4"/>
    <w:rsid w:val="005C0A99"/>
    <w:rsid w:val="005C0B41"/>
    <w:rsid w:val="005C1447"/>
    <w:rsid w:val="005C14AE"/>
    <w:rsid w:val="005C1770"/>
    <w:rsid w:val="005C1A17"/>
    <w:rsid w:val="005C2466"/>
    <w:rsid w:val="005C3645"/>
    <w:rsid w:val="005C6416"/>
    <w:rsid w:val="005C657D"/>
    <w:rsid w:val="005D05CE"/>
    <w:rsid w:val="005D252F"/>
    <w:rsid w:val="005D380A"/>
    <w:rsid w:val="005D3D25"/>
    <w:rsid w:val="005E2AF7"/>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C5C"/>
    <w:rsid w:val="00633E4E"/>
    <w:rsid w:val="00635D57"/>
    <w:rsid w:val="00640F32"/>
    <w:rsid w:val="006418B2"/>
    <w:rsid w:val="00642026"/>
    <w:rsid w:val="00642404"/>
    <w:rsid w:val="006429B3"/>
    <w:rsid w:val="006431E0"/>
    <w:rsid w:val="0064647E"/>
    <w:rsid w:val="00647EFA"/>
    <w:rsid w:val="00650A8D"/>
    <w:rsid w:val="00652973"/>
    <w:rsid w:val="006558CA"/>
    <w:rsid w:val="00657389"/>
    <w:rsid w:val="00657E79"/>
    <w:rsid w:val="006606F5"/>
    <w:rsid w:val="006606F9"/>
    <w:rsid w:val="0067185E"/>
    <w:rsid w:val="00671B64"/>
    <w:rsid w:val="00671D5B"/>
    <w:rsid w:val="00671FA2"/>
    <w:rsid w:val="006775FA"/>
    <w:rsid w:val="006814D7"/>
    <w:rsid w:val="00684280"/>
    <w:rsid w:val="0068544D"/>
    <w:rsid w:val="00690553"/>
    <w:rsid w:val="0069409E"/>
    <w:rsid w:val="00695D08"/>
    <w:rsid w:val="00695EA0"/>
    <w:rsid w:val="006A27AA"/>
    <w:rsid w:val="006A3602"/>
    <w:rsid w:val="006B0EA3"/>
    <w:rsid w:val="006B1AFF"/>
    <w:rsid w:val="006B1F9F"/>
    <w:rsid w:val="006B44DA"/>
    <w:rsid w:val="006B5621"/>
    <w:rsid w:val="006C382D"/>
    <w:rsid w:val="006D0BF7"/>
    <w:rsid w:val="006D1162"/>
    <w:rsid w:val="006D408E"/>
    <w:rsid w:val="006D67EB"/>
    <w:rsid w:val="006E22B1"/>
    <w:rsid w:val="006E7F39"/>
    <w:rsid w:val="006F1F96"/>
    <w:rsid w:val="006F3CEA"/>
    <w:rsid w:val="006F6DC9"/>
    <w:rsid w:val="00700337"/>
    <w:rsid w:val="00700B01"/>
    <w:rsid w:val="007022F7"/>
    <w:rsid w:val="00702EBF"/>
    <w:rsid w:val="00703958"/>
    <w:rsid w:val="00706942"/>
    <w:rsid w:val="00713414"/>
    <w:rsid w:val="00714D08"/>
    <w:rsid w:val="0071604F"/>
    <w:rsid w:val="00730350"/>
    <w:rsid w:val="00730EF3"/>
    <w:rsid w:val="0073516C"/>
    <w:rsid w:val="007371A3"/>
    <w:rsid w:val="007403F5"/>
    <w:rsid w:val="007426B3"/>
    <w:rsid w:val="007428C7"/>
    <w:rsid w:val="0074314F"/>
    <w:rsid w:val="00743353"/>
    <w:rsid w:val="00745C9F"/>
    <w:rsid w:val="00746697"/>
    <w:rsid w:val="00747CD7"/>
    <w:rsid w:val="0075096B"/>
    <w:rsid w:val="00751648"/>
    <w:rsid w:val="00756321"/>
    <w:rsid w:val="00756501"/>
    <w:rsid w:val="00756702"/>
    <w:rsid w:val="00760615"/>
    <w:rsid w:val="00760ADD"/>
    <w:rsid w:val="0076231A"/>
    <w:rsid w:val="0076294A"/>
    <w:rsid w:val="00764D03"/>
    <w:rsid w:val="00765E95"/>
    <w:rsid w:val="00766306"/>
    <w:rsid w:val="00774762"/>
    <w:rsid w:val="00774F55"/>
    <w:rsid w:val="00775D8A"/>
    <w:rsid w:val="0077659E"/>
    <w:rsid w:val="00777AD4"/>
    <w:rsid w:val="00780950"/>
    <w:rsid w:val="007809EF"/>
    <w:rsid w:val="007830F9"/>
    <w:rsid w:val="00783210"/>
    <w:rsid w:val="00783D2C"/>
    <w:rsid w:val="007857A4"/>
    <w:rsid w:val="00790A1A"/>
    <w:rsid w:val="00792261"/>
    <w:rsid w:val="00794F29"/>
    <w:rsid w:val="00796607"/>
    <w:rsid w:val="00797810"/>
    <w:rsid w:val="007A0750"/>
    <w:rsid w:val="007A2250"/>
    <w:rsid w:val="007A5759"/>
    <w:rsid w:val="007B3CFE"/>
    <w:rsid w:val="007B6D97"/>
    <w:rsid w:val="007C321D"/>
    <w:rsid w:val="007C41A5"/>
    <w:rsid w:val="007C58BE"/>
    <w:rsid w:val="007C7EEE"/>
    <w:rsid w:val="007D0537"/>
    <w:rsid w:val="007D080B"/>
    <w:rsid w:val="007D100D"/>
    <w:rsid w:val="007D1348"/>
    <w:rsid w:val="007D1467"/>
    <w:rsid w:val="007D1ED8"/>
    <w:rsid w:val="007D29D3"/>
    <w:rsid w:val="007E06DD"/>
    <w:rsid w:val="007E2234"/>
    <w:rsid w:val="007E35BC"/>
    <w:rsid w:val="007E610B"/>
    <w:rsid w:val="007E768E"/>
    <w:rsid w:val="007F1ACB"/>
    <w:rsid w:val="007F33DF"/>
    <w:rsid w:val="007F4221"/>
    <w:rsid w:val="007F670A"/>
    <w:rsid w:val="007F7235"/>
    <w:rsid w:val="00800DEB"/>
    <w:rsid w:val="00803C83"/>
    <w:rsid w:val="00813B3D"/>
    <w:rsid w:val="00814458"/>
    <w:rsid w:val="00814D1A"/>
    <w:rsid w:val="00815430"/>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6E75"/>
    <w:rsid w:val="00847309"/>
    <w:rsid w:val="008515CE"/>
    <w:rsid w:val="008620F3"/>
    <w:rsid w:val="00863986"/>
    <w:rsid w:val="00866257"/>
    <w:rsid w:val="00873A68"/>
    <w:rsid w:val="00874F24"/>
    <w:rsid w:val="00876230"/>
    <w:rsid w:val="008768A8"/>
    <w:rsid w:val="00877D5B"/>
    <w:rsid w:val="00877ECD"/>
    <w:rsid w:val="00880AC7"/>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364D"/>
    <w:rsid w:val="008B427B"/>
    <w:rsid w:val="008B4D6E"/>
    <w:rsid w:val="008B6009"/>
    <w:rsid w:val="008B66CA"/>
    <w:rsid w:val="008C3B85"/>
    <w:rsid w:val="008C3E91"/>
    <w:rsid w:val="008C46DC"/>
    <w:rsid w:val="008C53D8"/>
    <w:rsid w:val="008C5D11"/>
    <w:rsid w:val="008C6A3D"/>
    <w:rsid w:val="008D08A4"/>
    <w:rsid w:val="008D15AA"/>
    <w:rsid w:val="008D183C"/>
    <w:rsid w:val="008D65B7"/>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4D46"/>
    <w:rsid w:val="0090521B"/>
    <w:rsid w:val="009055E4"/>
    <w:rsid w:val="0091025E"/>
    <w:rsid w:val="00915D44"/>
    <w:rsid w:val="00917E9C"/>
    <w:rsid w:val="00922AF8"/>
    <w:rsid w:val="0092379D"/>
    <w:rsid w:val="00924E3D"/>
    <w:rsid w:val="00925160"/>
    <w:rsid w:val="0092542E"/>
    <w:rsid w:val="00933D7E"/>
    <w:rsid w:val="00936100"/>
    <w:rsid w:val="00947CF2"/>
    <w:rsid w:val="00950F88"/>
    <w:rsid w:val="00951C56"/>
    <w:rsid w:val="00955907"/>
    <w:rsid w:val="0095599F"/>
    <w:rsid w:val="00955FE7"/>
    <w:rsid w:val="00956CF7"/>
    <w:rsid w:val="00961817"/>
    <w:rsid w:val="0096424B"/>
    <w:rsid w:val="009662D0"/>
    <w:rsid w:val="009716FA"/>
    <w:rsid w:val="00972D1B"/>
    <w:rsid w:val="00975122"/>
    <w:rsid w:val="00981F1A"/>
    <w:rsid w:val="00982C55"/>
    <w:rsid w:val="00983DB9"/>
    <w:rsid w:val="00984AA8"/>
    <w:rsid w:val="00984FA5"/>
    <w:rsid w:val="00985088"/>
    <w:rsid w:val="00985495"/>
    <w:rsid w:val="0098648B"/>
    <w:rsid w:val="009A244C"/>
    <w:rsid w:val="009A41D9"/>
    <w:rsid w:val="009A602D"/>
    <w:rsid w:val="009A7402"/>
    <w:rsid w:val="009B0DAA"/>
    <w:rsid w:val="009B32FA"/>
    <w:rsid w:val="009B45C4"/>
    <w:rsid w:val="009C13DC"/>
    <w:rsid w:val="009C1908"/>
    <w:rsid w:val="009C4C52"/>
    <w:rsid w:val="009C73CF"/>
    <w:rsid w:val="009C7A76"/>
    <w:rsid w:val="009C7FB2"/>
    <w:rsid w:val="009D1AF5"/>
    <w:rsid w:val="009E00AE"/>
    <w:rsid w:val="009E09C7"/>
    <w:rsid w:val="009E09D3"/>
    <w:rsid w:val="009E1681"/>
    <w:rsid w:val="009E1D00"/>
    <w:rsid w:val="009E6E74"/>
    <w:rsid w:val="009F3E29"/>
    <w:rsid w:val="009F404E"/>
    <w:rsid w:val="009F41B6"/>
    <w:rsid w:val="009F49D4"/>
    <w:rsid w:val="009F4A2B"/>
    <w:rsid w:val="009F53ED"/>
    <w:rsid w:val="00A038BE"/>
    <w:rsid w:val="00A03AB2"/>
    <w:rsid w:val="00A04FEC"/>
    <w:rsid w:val="00A0665A"/>
    <w:rsid w:val="00A15FD8"/>
    <w:rsid w:val="00A25D48"/>
    <w:rsid w:val="00A30BA1"/>
    <w:rsid w:val="00A3636B"/>
    <w:rsid w:val="00A37DEE"/>
    <w:rsid w:val="00A4188F"/>
    <w:rsid w:val="00A433C3"/>
    <w:rsid w:val="00A44BFB"/>
    <w:rsid w:val="00A50806"/>
    <w:rsid w:val="00A54BB7"/>
    <w:rsid w:val="00A5643A"/>
    <w:rsid w:val="00A5723C"/>
    <w:rsid w:val="00A60232"/>
    <w:rsid w:val="00A60D43"/>
    <w:rsid w:val="00A64BB4"/>
    <w:rsid w:val="00A66499"/>
    <w:rsid w:val="00A677F9"/>
    <w:rsid w:val="00A67B3E"/>
    <w:rsid w:val="00A707A4"/>
    <w:rsid w:val="00A7274B"/>
    <w:rsid w:val="00A73FB8"/>
    <w:rsid w:val="00A763CB"/>
    <w:rsid w:val="00A772FF"/>
    <w:rsid w:val="00A801D1"/>
    <w:rsid w:val="00A81F69"/>
    <w:rsid w:val="00A84AC2"/>
    <w:rsid w:val="00A84C17"/>
    <w:rsid w:val="00A86089"/>
    <w:rsid w:val="00A91CB0"/>
    <w:rsid w:val="00A93FC0"/>
    <w:rsid w:val="00A95D3F"/>
    <w:rsid w:val="00AA000B"/>
    <w:rsid w:val="00AA3484"/>
    <w:rsid w:val="00AA6F1F"/>
    <w:rsid w:val="00AA7E7B"/>
    <w:rsid w:val="00AB1AF9"/>
    <w:rsid w:val="00AB3B48"/>
    <w:rsid w:val="00AB4476"/>
    <w:rsid w:val="00AB5287"/>
    <w:rsid w:val="00AB6D0F"/>
    <w:rsid w:val="00AB7858"/>
    <w:rsid w:val="00AC355E"/>
    <w:rsid w:val="00AC4931"/>
    <w:rsid w:val="00AC61A6"/>
    <w:rsid w:val="00AD01F4"/>
    <w:rsid w:val="00AD1C4B"/>
    <w:rsid w:val="00AD1DD2"/>
    <w:rsid w:val="00AD2062"/>
    <w:rsid w:val="00AD2F1D"/>
    <w:rsid w:val="00AD665F"/>
    <w:rsid w:val="00AD6CF9"/>
    <w:rsid w:val="00AE1E46"/>
    <w:rsid w:val="00AE3ADB"/>
    <w:rsid w:val="00AE5177"/>
    <w:rsid w:val="00AF0989"/>
    <w:rsid w:val="00AF28C7"/>
    <w:rsid w:val="00AF785C"/>
    <w:rsid w:val="00B04160"/>
    <w:rsid w:val="00B043EC"/>
    <w:rsid w:val="00B05DDC"/>
    <w:rsid w:val="00B1029F"/>
    <w:rsid w:val="00B120FB"/>
    <w:rsid w:val="00B26579"/>
    <w:rsid w:val="00B3498C"/>
    <w:rsid w:val="00B34F49"/>
    <w:rsid w:val="00B35EEF"/>
    <w:rsid w:val="00B36500"/>
    <w:rsid w:val="00B37CB2"/>
    <w:rsid w:val="00B40979"/>
    <w:rsid w:val="00B4154D"/>
    <w:rsid w:val="00B43CAD"/>
    <w:rsid w:val="00B51536"/>
    <w:rsid w:val="00B55A49"/>
    <w:rsid w:val="00B56ACC"/>
    <w:rsid w:val="00B61038"/>
    <w:rsid w:val="00B64265"/>
    <w:rsid w:val="00B64618"/>
    <w:rsid w:val="00B6712A"/>
    <w:rsid w:val="00B67F76"/>
    <w:rsid w:val="00B70EFF"/>
    <w:rsid w:val="00B71659"/>
    <w:rsid w:val="00B72C6E"/>
    <w:rsid w:val="00B7469D"/>
    <w:rsid w:val="00B7558C"/>
    <w:rsid w:val="00B81F8A"/>
    <w:rsid w:val="00B845DA"/>
    <w:rsid w:val="00B85794"/>
    <w:rsid w:val="00B86466"/>
    <w:rsid w:val="00B9194F"/>
    <w:rsid w:val="00B929B0"/>
    <w:rsid w:val="00BA003B"/>
    <w:rsid w:val="00BA2625"/>
    <w:rsid w:val="00BB05E2"/>
    <w:rsid w:val="00BB7C04"/>
    <w:rsid w:val="00BD1111"/>
    <w:rsid w:val="00BD26B6"/>
    <w:rsid w:val="00BD49F2"/>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16CE2"/>
    <w:rsid w:val="00C173AC"/>
    <w:rsid w:val="00C17B5A"/>
    <w:rsid w:val="00C2207B"/>
    <w:rsid w:val="00C30479"/>
    <w:rsid w:val="00C30F10"/>
    <w:rsid w:val="00C43AD3"/>
    <w:rsid w:val="00C46129"/>
    <w:rsid w:val="00C47F36"/>
    <w:rsid w:val="00C529E8"/>
    <w:rsid w:val="00C6010C"/>
    <w:rsid w:val="00C6013F"/>
    <w:rsid w:val="00C63537"/>
    <w:rsid w:val="00C66273"/>
    <w:rsid w:val="00C6636B"/>
    <w:rsid w:val="00C71561"/>
    <w:rsid w:val="00C7197A"/>
    <w:rsid w:val="00C71E70"/>
    <w:rsid w:val="00C75A77"/>
    <w:rsid w:val="00C77E8C"/>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67B4"/>
    <w:rsid w:val="00CA708E"/>
    <w:rsid w:val="00CA716C"/>
    <w:rsid w:val="00CA72FC"/>
    <w:rsid w:val="00CB56F5"/>
    <w:rsid w:val="00CB58E8"/>
    <w:rsid w:val="00CB6E04"/>
    <w:rsid w:val="00CC10EF"/>
    <w:rsid w:val="00CC2512"/>
    <w:rsid w:val="00CC4C58"/>
    <w:rsid w:val="00CC547F"/>
    <w:rsid w:val="00CD0909"/>
    <w:rsid w:val="00CD5D21"/>
    <w:rsid w:val="00CE0E9F"/>
    <w:rsid w:val="00CE40D7"/>
    <w:rsid w:val="00CE4385"/>
    <w:rsid w:val="00CE5F52"/>
    <w:rsid w:val="00CE7906"/>
    <w:rsid w:val="00CF0E19"/>
    <w:rsid w:val="00CF7DD0"/>
    <w:rsid w:val="00D01EE5"/>
    <w:rsid w:val="00D02AF3"/>
    <w:rsid w:val="00D02CE4"/>
    <w:rsid w:val="00D04B89"/>
    <w:rsid w:val="00D05342"/>
    <w:rsid w:val="00D10355"/>
    <w:rsid w:val="00D11BD0"/>
    <w:rsid w:val="00D2157A"/>
    <w:rsid w:val="00D21B4A"/>
    <w:rsid w:val="00D265AE"/>
    <w:rsid w:val="00D27D9B"/>
    <w:rsid w:val="00D30402"/>
    <w:rsid w:val="00D30CF1"/>
    <w:rsid w:val="00D357B1"/>
    <w:rsid w:val="00D376DB"/>
    <w:rsid w:val="00D40DE9"/>
    <w:rsid w:val="00D41212"/>
    <w:rsid w:val="00D417E2"/>
    <w:rsid w:val="00D4259A"/>
    <w:rsid w:val="00D42B45"/>
    <w:rsid w:val="00D50ED4"/>
    <w:rsid w:val="00D54C67"/>
    <w:rsid w:val="00D54F53"/>
    <w:rsid w:val="00D55BDC"/>
    <w:rsid w:val="00D57563"/>
    <w:rsid w:val="00D57CFC"/>
    <w:rsid w:val="00D64A19"/>
    <w:rsid w:val="00D660A1"/>
    <w:rsid w:val="00D66FFC"/>
    <w:rsid w:val="00D70729"/>
    <w:rsid w:val="00D71250"/>
    <w:rsid w:val="00D71D4B"/>
    <w:rsid w:val="00D71F30"/>
    <w:rsid w:val="00D7239F"/>
    <w:rsid w:val="00D72991"/>
    <w:rsid w:val="00D736C0"/>
    <w:rsid w:val="00D74921"/>
    <w:rsid w:val="00D90D62"/>
    <w:rsid w:val="00D91468"/>
    <w:rsid w:val="00D92274"/>
    <w:rsid w:val="00D94339"/>
    <w:rsid w:val="00D9707F"/>
    <w:rsid w:val="00DA165A"/>
    <w:rsid w:val="00DA1F8E"/>
    <w:rsid w:val="00DA57A4"/>
    <w:rsid w:val="00DA6C32"/>
    <w:rsid w:val="00DB0D07"/>
    <w:rsid w:val="00DB0ED9"/>
    <w:rsid w:val="00DB4358"/>
    <w:rsid w:val="00DC1D74"/>
    <w:rsid w:val="00DC39E8"/>
    <w:rsid w:val="00DC4922"/>
    <w:rsid w:val="00DC4950"/>
    <w:rsid w:val="00DC585C"/>
    <w:rsid w:val="00DC692D"/>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5491"/>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C69"/>
    <w:rsid w:val="00E473CE"/>
    <w:rsid w:val="00E50127"/>
    <w:rsid w:val="00E50AA2"/>
    <w:rsid w:val="00E5223F"/>
    <w:rsid w:val="00E538B7"/>
    <w:rsid w:val="00E61359"/>
    <w:rsid w:val="00E6185D"/>
    <w:rsid w:val="00E66B4F"/>
    <w:rsid w:val="00E70FC4"/>
    <w:rsid w:val="00E72112"/>
    <w:rsid w:val="00E741D5"/>
    <w:rsid w:val="00E74474"/>
    <w:rsid w:val="00E752F8"/>
    <w:rsid w:val="00E76A50"/>
    <w:rsid w:val="00E77F7E"/>
    <w:rsid w:val="00E81060"/>
    <w:rsid w:val="00E83C17"/>
    <w:rsid w:val="00E87A6A"/>
    <w:rsid w:val="00E9194E"/>
    <w:rsid w:val="00E9232A"/>
    <w:rsid w:val="00E92A89"/>
    <w:rsid w:val="00EA4174"/>
    <w:rsid w:val="00EA4D1B"/>
    <w:rsid w:val="00EA7EF1"/>
    <w:rsid w:val="00EB1D11"/>
    <w:rsid w:val="00EB281B"/>
    <w:rsid w:val="00EB79FF"/>
    <w:rsid w:val="00EC1C50"/>
    <w:rsid w:val="00ED09FB"/>
    <w:rsid w:val="00ED121A"/>
    <w:rsid w:val="00ED3D05"/>
    <w:rsid w:val="00ED4B84"/>
    <w:rsid w:val="00ED5025"/>
    <w:rsid w:val="00EE072C"/>
    <w:rsid w:val="00EE1C85"/>
    <w:rsid w:val="00EE5713"/>
    <w:rsid w:val="00EE64AE"/>
    <w:rsid w:val="00EE715F"/>
    <w:rsid w:val="00EF0C6F"/>
    <w:rsid w:val="00EF7E61"/>
    <w:rsid w:val="00F03512"/>
    <w:rsid w:val="00F03E2B"/>
    <w:rsid w:val="00F06445"/>
    <w:rsid w:val="00F06863"/>
    <w:rsid w:val="00F07114"/>
    <w:rsid w:val="00F127CF"/>
    <w:rsid w:val="00F206A7"/>
    <w:rsid w:val="00F3105E"/>
    <w:rsid w:val="00F31AAB"/>
    <w:rsid w:val="00F31B8F"/>
    <w:rsid w:val="00F3508C"/>
    <w:rsid w:val="00F41591"/>
    <w:rsid w:val="00F41A63"/>
    <w:rsid w:val="00F45BEB"/>
    <w:rsid w:val="00F54523"/>
    <w:rsid w:val="00F5702C"/>
    <w:rsid w:val="00F62470"/>
    <w:rsid w:val="00F626AA"/>
    <w:rsid w:val="00F62CA7"/>
    <w:rsid w:val="00F70793"/>
    <w:rsid w:val="00F77684"/>
    <w:rsid w:val="00F84544"/>
    <w:rsid w:val="00F84C99"/>
    <w:rsid w:val="00F87538"/>
    <w:rsid w:val="00F90552"/>
    <w:rsid w:val="00F908B7"/>
    <w:rsid w:val="00F9465A"/>
    <w:rsid w:val="00F94A08"/>
    <w:rsid w:val="00F954FA"/>
    <w:rsid w:val="00F95B1F"/>
    <w:rsid w:val="00F96EB7"/>
    <w:rsid w:val="00FA05B2"/>
    <w:rsid w:val="00FA0889"/>
    <w:rsid w:val="00FA68A7"/>
    <w:rsid w:val="00FB0F42"/>
    <w:rsid w:val="00FB1DD9"/>
    <w:rsid w:val="00FB54CC"/>
    <w:rsid w:val="00FB7601"/>
    <w:rsid w:val="00FB7EC1"/>
    <w:rsid w:val="00FC0C51"/>
    <w:rsid w:val="00FC3903"/>
    <w:rsid w:val="00FC6848"/>
    <w:rsid w:val="00FC7C4F"/>
    <w:rsid w:val="00FD2228"/>
    <w:rsid w:val="00FD64FC"/>
    <w:rsid w:val="00FE1B88"/>
    <w:rsid w:val="00FE6DB7"/>
    <w:rsid w:val="00FF23F8"/>
    <w:rsid w:val="00FF4544"/>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4f75,#260859,#004712,#8a2529,#c2a204,#e87d1e"/>
    </o:shapedefaults>
    <o:shapelayout v:ext="edit">
      <o:idmap v:ext="edit" data="1"/>
    </o:shapelayout>
  </w:shapeDefaults>
  <w:decimalSymbol w:val="."/>
  <w:listSeparator w:val=","/>
  <w14:docId w14:val="0E607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B7DCE39-AB92-4048-BD16-472514B227E0}">
  <ds:schemaRefs>
    <ds:schemaRef ds:uri="http://purl.org/dc/terms/"/>
    <ds:schemaRef ds:uri="http://schemas.microsoft.com/office/2006/documentManagement/types"/>
    <ds:schemaRef ds:uri="http://schemas.microsoft.com/sharepoint/v3"/>
    <ds:schemaRef ds:uri="http://purl.org/dc/elements/1.1/"/>
    <ds:schemaRef ds:uri="b8cb3cbd-ce5c-4a72-9da4-9013f91c5903"/>
    <ds:schemaRef ds:uri="http://schemas.microsoft.com/office/infopath/2007/PartnerControls"/>
    <ds:schemaRef ds:uri="http://purl.org/dc/dcmitype/"/>
    <ds:schemaRef ds:uri="http://schemas.openxmlformats.org/package/2006/metadata/core-properties"/>
    <ds:schemaRef ds:uri="7fae6ca9-b18b-49a6-bdfe-0a20c49a9ba9"/>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E9E8B585-D52D-4BA5-9824-C716DF5C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2095</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13241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Mr R Farrow</dc:creator>
  <dc:description>Master-ET-v3.5</dc:description>
  <cp:lastModifiedBy>Greaves, Peter</cp:lastModifiedBy>
  <cp:revision>6</cp:revision>
  <cp:lastPrinted>2018-09-06T06:43:00Z</cp:lastPrinted>
  <dcterms:created xsi:type="dcterms:W3CDTF">2020-09-25T15:45:00Z</dcterms:created>
  <dcterms:modified xsi:type="dcterms:W3CDTF">2021-06-16T17:00:00Z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